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5B34">
      <w:pPr>
        <w:ind w:firstLine="0" w:firstLineChars="0"/>
        <w:jc w:val="right"/>
        <w:rPr>
          <w:rFonts w:ascii="Times New Roman" w:hAnsi="Times New Roman" w:cs="Times New Roman" w:eastAsiaTheme="minorEastAsia"/>
          <w:bCs/>
          <w:sz w:val="24"/>
        </w:rPr>
      </w:pPr>
    </w:p>
    <w:p w14:paraId="2F27B348">
      <w:pPr>
        <w:ind w:firstLine="600"/>
        <w:jc w:val="both"/>
        <w:rPr>
          <w:sz w:val="44"/>
          <w:szCs w:val="44"/>
        </w:rPr>
      </w:pPr>
      <w:bookmarkStart w:id="0" w:name="_Hlk55069938"/>
    </w:p>
    <w:p w14:paraId="21159F62">
      <w:pPr>
        <w:ind w:firstLine="883"/>
        <w:jc w:val="center"/>
        <w:rPr>
          <w:rFonts w:eastAsia="黑体"/>
          <w:b/>
          <w:bCs/>
          <w:sz w:val="44"/>
          <w:szCs w:val="44"/>
        </w:rPr>
      </w:pPr>
      <w:r>
        <w:rPr>
          <w:rFonts w:hint="eastAsia" w:eastAsia="黑体"/>
          <w:b/>
          <w:bCs/>
          <w:sz w:val="44"/>
          <w:szCs w:val="44"/>
        </w:rPr>
        <w:t>伦理委员会工作制度</w:t>
      </w:r>
    </w:p>
    <w:p w14:paraId="55903E5A">
      <w:pPr>
        <w:ind w:firstLine="600"/>
        <w:jc w:val="both"/>
      </w:pPr>
    </w:p>
    <w:p w14:paraId="19B4F50A">
      <w:pPr>
        <w:ind w:firstLine="600"/>
        <w:jc w:val="both"/>
      </w:pPr>
    </w:p>
    <w:tbl>
      <w:tblPr>
        <w:tblStyle w:val="6"/>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970"/>
        <w:gridCol w:w="2184"/>
        <w:gridCol w:w="2195"/>
      </w:tblGrid>
      <w:tr w14:paraId="247E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2" w:type="dxa"/>
            <w:vAlign w:val="center"/>
          </w:tcPr>
          <w:p w14:paraId="4E293B27">
            <w:pPr>
              <w:ind w:firstLine="0" w:firstLineChars="0"/>
              <w:jc w:val="center"/>
              <w:rPr>
                <w:rFonts w:ascii="仿宋" w:hAnsi="仿宋"/>
                <w:b/>
                <w:color w:val="000000" w:themeColor="text1"/>
                <w:sz w:val="24"/>
                <w14:textFill>
                  <w14:solidFill>
                    <w14:schemeClr w14:val="tx1"/>
                  </w14:solidFill>
                </w14:textFill>
              </w:rPr>
            </w:pPr>
            <w:r>
              <w:rPr>
                <w:rFonts w:ascii="仿宋" w:hAnsi="仿宋"/>
                <w:b/>
                <w:color w:val="000000" w:themeColor="text1"/>
                <w:sz w:val="24"/>
                <w14:textFill>
                  <w14:solidFill>
                    <w14:schemeClr w14:val="tx1"/>
                  </w14:solidFill>
                </w14:textFill>
              </w:rPr>
              <w:t>编</w:t>
            </w:r>
            <w:r>
              <w:rPr>
                <w:rFonts w:hint="eastAsia" w:ascii="仿宋" w:hAnsi="仿宋"/>
                <w:b/>
                <w:color w:val="000000" w:themeColor="text1"/>
                <w:sz w:val="24"/>
                <w14:textFill>
                  <w14:solidFill>
                    <w14:schemeClr w14:val="tx1"/>
                  </w14:solidFill>
                </w14:textFill>
              </w:rPr>
              <w:t xml:space="preserve">  </w:t>
            </w:r>
            <w:r>
              <w:rPr>
                <w:rFonts w:ascii="仿宋" w:hAnsi="仿宋"/>
                <w:b/>
                <w:color w:val="000000" w:themeColor="text1"/>
                <w:sz w:val="24"/>
                <w14:textFill>
                  <w14:solidFill>
                    <w14:schemeClr w14:val="tx1"/>
                  </w14:solidFill>
                </w14:textFill>
              </w:rPr>
              <w:t>号</w:t>
            </w:r>
          </w:p>
        </w:tc>
        <w:tc>
          <w:tcPr>
            <w:tcW w:w="2735" w:type="dxa"/>
            <w:vAlign w:val="center"/>
          </w:tcPr>
          <w:p w14:paraId="1ECF1BB0">
            <w:pPr>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IEC/MS/06/2025-02.0</w:t>
            </w:r>
          </w:p>
        </w:tc>
        <w:tc>
          <w:tcPr>
            <w:tcW w:w="2263" w:type="dxa"/>
            <w:vAlign w:val="center"/>
          </w:tcPr>
          <w:p w14:paraId="0A660496">
            <w:pPr>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页    码</w:t>
            </w:r>
          </w:p>
        </w:tc>
        <w:tc>
          <w:tcPr>
            <w:tcW w:w="2264" w:type="dxa"/>
            <w:vAlign w:val="center"/>
          </w:tcPr>
          <w:p w14:paraId="06CA9336">
            <w:pPr>
              <w:ind w:firstLine="600" w:firstLineChars="25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共</w:t>
            </w:r>
            <w:r>
              <w:rPr>
                <w:rFonts w:hint="eastAsia" w:ascii="Times New Roman" w:hAnsi="Times New Roman" w:cs="Times New Roman"/>
                <w:color w:val="000000" w:themeColor="text1"/>
                <w:sz w:val="24"/>
                <w:lang w:val="en-US" w:eastAsia="zh-CN"/>
                <w14:textFill>
                  <w14:solidFill>
                    <w14:schemeClr w14:val="tx1"/>
                  </w14:solidFill>
                </w14:textFill>
              </w:rPr>
              <w:t>6</w:t>
            </w:r>
            <w:r>
              <w:rPr>
                <w:rFonts w:ascii="Times New Roman" w:hAnsi="Times New Roman" w:cs="Times New Roman"/>
                <w:color w:val="000000" w:themeColor="text1"/>
                <w:sz w:val="24"/>
                <w14:textFill>
                  <w14:solidFill>
                    <w14:schemeClr w14:val="tx1"/>
                  </w14:solidFill>
                </w14:textFill>
              </w:rPr>
              <w:t>页</w:t>
            </w:r>
          </w:p>
        </w:tc>
      </w:tr>
      <w:tr w14:paraId="0816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2" w:type="dxa"/>
            <w:vAlign w:val="center"/>
          </w:tcPr>
          <w:p w14:paraId="185A5422">
            <w:pPr>
              <w:ind w:firstLine="0" w:firstLineChars="0"/>
              <w:jc w:val="center"/>
              <w:rPr>
                <w:rFonts w:ascii="仿宋" w:hAnsi="仿宋"/>
                <w:b/>
                <w:color w:val="000000" w:themeColor="text1"/>
                <w:sz w:val="24"/>
                <w14:textFill>
                  <w14:solidFill>
                    <w14:schemeClr w14:val="tx1"/>
                  </w14:solidFill>
                </w14:textFill>
              </w:rPr>
            </w:pPr>
            <w:r>
              <w:rPr>
                <w:rFonts w:ascii="仿宋" w:hAnsi="仿宋"/>
                <w:b/>
                <w:color w:val="000000" w:themeColor="text1"/>
                <w:sz w:val="24"/>
                <w14:textFill>
                  <w14:solidFill>
                    <w14:schemeClr w14:val="tx1"/>
                  </w14:solidFill>
                </w14:textFill>
              </w:rPr>
              <w:t>起草</w:t>
            </w:r>
            <w:r>
              <w:rPr>
                <w:rFonts w:hint="eastAsia" w:ascii="仿宋" w:hAnsi="仿宋"/>
                <w:b/>
                <w:color w:val="000000" w:themeColor="text1"/>
                <w:sz w:val="24"/>
                <w14:textFill>
                  <w14:solidFill>
                    <w14:schemeClr w14:val="tx1"/>
                  </w14:solidFill>
                </w14:textFill>
              </w:rPr>
              <w:t>者</w:t>
            </w:r>
          </w:p>
        </w:tc>
        <w:tc>
          <w:tcPr>
            <w:tcW w:w="2735" w:type="dxa"/>
            <w:shd w:val="clear" w:color="auto" w:fill="auto"/>
            <w:vAlign w:val="center"/>
          </w:tcPr>
          <w:p w14:paraId="5C5A6D7F">
            <w:pPr>
              <w:ind w:firstLine="480" w:firstLineChars="200"/>
              <w:jc w:val="left"/>
              <w:rPr>
                <w:rFonts w:hint="eastAsia" w:ascii="仿宋" w:hAnsi="仿宋" w:eastAsia="仿宋" w:cs="Courier New"/>
                <w:color w:val="000000" w:themeColor="text1"/>
                <w:kern w:val="0"/>
                <w:sz w:val="24"/>
                <w:szCs w:val="24"/>
                <w:lang w:val="en-US" w:eastAsia="zh-CN" w:bidi="ar-SA"/>
                <w14:textFill>
                  <w14:solidFill>
                    <w14:schemeClr w14:val="tx1"/>
                  </w14:solidFill>
                </w14:textFill>
              </w:rPr>
            </w:pPr>
          </w:p>
        </w:tc>
        <w:tc>
          <w:tcPr>
            <w:tcW w:w="2263" w:type="dxa"/>
            <w:vAlign w:val="center"/>
          </w:tcPr>
          <w:p w14:paraId="1427967A">
            <w:pPr>
              <w:ind w:firstLine="0" w:firstLineChars="0"/>
              <w:jc w:val="center"/>
              <w:rPr>
                <w:rFonts w:ascii="仿宋" w:hAnsi="仿宋"/>
                <w:b/>
                <w:color w:val="000000" w:themeColor="text1"/>
                <w:sz w:val="24"/>
                <w14:textFill>
                  <w14:solidFill>
                    <w14:schemeClr w14:val="tx1"/>
                  </w14:solidFill>
                </w14:textFill>
              </w:rPr>
            </w:pPr>
            <w:r>
              <w:rPr>
                <w:rFonts w:hint="eastAsia" w:ascii="仿宋" w:hAnsi="仿宋"/>
                <w:b/>
                <w:color w:val="000000" w:themeColor="text1"/>
                <w:sz w:val="24"/>
                <w14:textFill>
                  <w14:solidFill>
                    <w14:schemeClr w14:val="tx1"/>
                  </w14:solidFill>
                </w14:textFill>
              </w:rPr>
              <w:t>起草日期</w:t>
            </w:r>
          </w:p>
        </w:tc>
        <w:tc>
          <w:tcPr>
            <w:tcW w:w="2264" w:type="dxa"/>
            <w:shd w:val="clear" w:color="auto" w:fill="auto"/>
            <w:vAlign w:val="center"/>
          </w:tcPr>
          <w:p w14:paraId="4DC48B07">
            <w:pPr>
              <w:ind w:firstLine="480" w:firstLineChars="200"/>
              <w:jc w:val="left"/>
              <w:rPr>
                <w:rFonts w:hint="default" w:ascii="仿宋" w:hAnsi="仿宋" w:eastAsia="仿宋" w:cs="Courier New"/>
                <w:color w:val="000000" w:themeColor="text1"/>
                <w:kern w:val="0"/>
                <w:sz w:val="24"/>
                <w:szCs w:val="24"/>
                <w:lang w:val="en-US" w:eastAsia="zh-CN" w:bidi="ar-SA"/>
                <w14:textFill>
                  <w14:solidFill>
                    <w14:schemeClr w14:val="tx1"/>
                  </w14:solidFill>
                </w14:textFill>
              </w:rPr>
            </w:pPr>
          </w:p>
        </w:tc>
      </w:tr>
      <w:tr w14:paraId="5299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2" w:type="dxa"/>
            <w:vAlign w:val="center"/>
          </w:tcPr>
          <w:p w14:paraId="617AECE6">
            <w:pPr>
              <w:ind w:firstLine="0" w:firstLineChars="0"/>
              <w:jc w:val="center"/>
              <w:rPr>
                <w:rFonts w:ascii="仿宋" w:hAnsi="仿宋"/>
                <w:b/>
                <w:color w:val="000000" w:themeColor="text1"/>
                <w:sz w:val="24"/>
                <w14:textFill>
                  <w14:solidFill>
                    <w14:schemeClr w14:val="tx1"/>
                  </w14:solidFill>
                </w14:textFill>
              </w:rPr>
            </w:pPr>
            <w:r>
              <w:rPr>
                <w:rFonts w:ascii="仿宋" w:hAnsi="仿宋"/>
                <w:b/>
                <w:color w:val="000000" w:themeColor="text1"/>
                <w:sz w:val="24"/>
                <w14:textFill>
                  <w14:solidFill>
                    <w14:schemeClr w14:val="tx1"/>
                  </w14:solidFill>
                </w14:textFill>
              </w:rPr>
              <w:t>审核</w:t>
            </w:r>
            <w:r>
              <w:rPr>
                <w:rFonts w:hint="eastAsia" w:ascii="仿宋" w:hAnsi="仿宋"/>
                <w:b/>
                <w:color w:val="000000" w:themeColor="text1"/>
                <w:sz w:val="24"/>
                <w14:textFill>
                  <w14:solidFill>
                    <w14:schemeClr w14:val="tx1"/>
                  </w14:solidFill>
                </w14:textFill>
              </w:rPr>
              <w:t>者</w:t>
            </w:r>
          </w:p>
        </w:tc>
        <w:tc>
          <w:tcPr>
            <w:tcW w:w="2735" w:type="dxa"/>
            <w:shd w:val="clear" w:color="auto" w:fill="auto"/>
            <w:vAlign w:val="center"/>
          </w:tcPr>
          <w:p w14:paraId="43DF0B39">
            <w:pPr>
              <w:ind w:firstLine="480" w:firstLineChars="200"/>
              <w:jc w:val="left"/>
              <w:rPr>
                <w:rFonts w:hint="eastAsia" w:ascii="仿宋" w:hAnsi="仿宋" w:eastAsia="仿宋" w:cs="Courier New"/>
                <w:color w:val="000000" w:themeColor="text1"/>
                <w:kern w:val="0"/>
                <w:sz w:val="24"/>
                <w:szCs w:val="24"/>
                <w:lang w:val="zh-TW" w:eastAsia="zh-CN" w:bidi="ar-SA"/>
                <w14:textFill>
                  <w14:solidFill>
                    <w14:schemeClr w14:val="tx1"/>
                  </w14:solidFill>
                </w14:textFill>
              </w:rPr>
            </w:pPr>
          </w:p>
        </w:tc>
        <w:tc>
          <w:tcPr>
            <w:tcW w:w="2263" w:type="dxa"/>
            <w:vAlign w:val="center"/>
          </w:tcPr>
          <w:p w14:paraId="5EBE511D">
            <w:pPr>
              <w:ind w:firstLine="0" w:firstLineChars="0"/>
              <w:jc w:val="center"/>
              <w:rPr>
                <w:rFonts w:ascii="仿宋" w:hAnsi="仿宋"/>
                <w:b/>
                <w:color w:val="000000" w:themeColor="text1"/>
                <w:sz w:val="24"/>
                <w14:textFill>
                  <w14:solidFill>
                    <w14:schemeClr w14:val="tx1"/>
                  </w14:solidFill>
                </w14:textFill>
              </w:rPr>
            </w:pPr>
            <w:r>
              <w:rPr>
                <w:rFonts w:hint="eastAsia" w:ascii="仿宋" w:hAnsi="仿宋"/>
                <w:b/>
                <w:color w:val="000000" w:themeColor="text1"/>
                <w:sz w:val="24"/>
                <w14:textFill>
                  <w14:solidFill>
                    <w14:schemeClr w14:val="tx1"/>
                  </w14:solidFill>
                </w14:textFill>
              </w:rPr>
              <w:t>审核日期</w:t>
            </w:r>
          </w:p>
        </w:tc>
        <w:tc>
          <w:tcPr>
            <w:tcW w:w="2264" w:type="dxa"/>
            <w:shd w:val="clear" w:color="auto" w:fill="auto"/>
            <w:vAlign w:val="center"/>
          </w:tcPr>
          <w:p w14:paraId="463AA358">
            <w:pPr>
              <w:ind w:firstLine="480" w:firstLineChars="200"/>
              <w:jc w:val="left"/>
              <w:rPr>
                <w:rFonts w:ascii="仿宋" w:hAnsi="仿宋" w:eastAsia="仿宋" w:cs="Courier New"/>
                <w:color w:val="000000" w:themeColor="text1"/>
                <w:kern w:val="0"/>
                <w:sz w:val="24"/>
                <w:szCs w:val="24"/>
                <w:lang w:val="zh-TW" w:eastAsia="zh-CN" w:bidi="ar-SA"/>
                <w14:textFill>
                  <w14:solidFill>
                    <w14:schemeClr w14:val="tx1"/>
                  </w14:solidFill>
                </w14:textFill>
              </w:rPr>
            </w:pPr>
          </w:p>
        </w:tc>
      </w:tr>
      <w:tr w14:paraId="7136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2" w:type="dxa"/>
            <w:vAlign w:val="center"/>
          </w:tcPr>
          <w:p w14:paraId="5EB97B74">
            <w:pPr>
              <w:ind w:firstLine="0" w:firstLineChars="0"/>
              <w:jc w:val="center"/>
              <w:rPr>
                <w:rFonts w:ascii="仿宋" w:hAnsi="仿宋"/>
                <w:b/>
                <w:color w:val="000000" w:themeColor="text1"/>
                <w:sz w:val="24"/>
                <w14:textFill>
                  <w14:solidFill>
                    <w14:schemeClr w14:val="tx1"/>
                  </w14:solidFill>
                </w14:textFill>
              </w:rPr>
            </w:pPr>
            <w:r>
              <w:rPr>
                <w:rFonts w:ascii="仿宋" w:hAnsi="仿宋"/>
                <w:b/>
                <w:color w:val="000000" w:themeColor="text1"/>
                <w:sz w:val="24"/>
                <w14:textFill>
                  <w14:solidFill>
                    <w14:schemeClr w14:val="tx1"/>
                  </w14:solidFill>
                </w14:textFill>
              </w:rPr>
              <w:t>批准</w:t>
            </w:r>
            <w:r>
              <w:rPr>
                <w:rFonts w:hint="eastAsia" w:ascii="仿宋" w:hAnsi="仿宋"/>
                <w:b/>
                <w:color w:val="000000" w:themeColor="text1"/>
                <w:sz w:val="24"/>
                <w14:textFill>
                  <w14:solidFill>
                    <w14:schemeClr w14:val="tx1"/>
                  </w14:solidFill>
                </w14:textFill>
              </w:rPr>
              <w:t>者</w:t>
            </w:r>
          </w:p>
        </w:tc>
        <w:tc>
          <w:tcPr>
            <w:tcW w:w="2735" w:type="dxa"/>
            <w:shd w:val="clear" w:color="auto" w:fill="auto"/>
            <w:vAlign w:val="center"/>
          </w:tcPr>
          <w:p w14:paraId="0CC1F33A">
            <w:pPr>
              <w:ind w:firstLine="480" w:firstLineChars="200"/>
              <w:jc w:val="left"/>
              <w:rPr>
                <w:rFonts w:ascii="仿宋" w:hAnsi="仿宋" w:eastAsia="仿宋" w:cs="Courier New"/>
                <w:color w:val="000000" w:themeColor="text1"/>
                <w:kern w:val="0"/>
                <w:sz w:val="24"/>
                <w:szCs w:val="24"/>
                <w:lang w:val="zh-TW" w:eastAsia="zh-CN" w:bidi="ar-SA"/>
                <w14:textFill>
                  <w14:solidFill>
                    <w14:schemeClr w14:val="tx1"/>
                  </w14:solidFill>
                </w14:textFill>
              </w:rPr>
            </w:pPr>
          </w:p>
        </w:tc>
        <w:tc>
          <w:tcPr>
            <w:tcW w:w="2263" w:type="dxa"/>
            <w:vAlign w:val="center"/>
          </w:tcPr>
          <w:p w14:paraId="079CA2A2">
            <w:pPr>
              <w:ind w:firstLine="0" w:firstLineChars="0"/>
              <w:jc w:val="center"/>
              <w:rPr>
                <w:rFonts w:ascii="仿宋" w:hAnsi="仿宋"/>
                <w:b/>
                <w:color w:val="000000" w:themeColor="text1"/>
                <w:sz w:val="24"/>
                <w14:textFill>
                  <w14:solidFill>
                    <w14:schemeClr w14:val="tx1"/>
                  </w14:solidFill>
                </w14:textFill>
              </w:rPr>
            </w:pPr>
            <w:r>
              <w:rPr>
                <w:rFonts w:hint="eastAsia" w:ascii="仿宋" w:hAnsi="仿宋"/>
                <w:b/>
                <w:color w:val="000000" w:themeColor="text1"/>
                <w:sz w:val="24"/>
                <w14:textFill>
                  <w14:solidFill>
                    <w14:schemeClr w14:val="tx1"/>
                  </w14:solidFill>
                </w14:textFill>
              </w:rPr>
              <w:t>批准生效日期</w:t>
            </w:r>
          </w:p>
        </w:tc>
        <w:tc>
          <w:tcPr>
            <w:tcW w:w="2264" w:type="dxa"/>
            <w:shd w:val="clear" w:color="auto" w:fill="auto"/>
            <w:vAlign w:val="center"/>
          </w:tcPr>
          <w:p w14:paraId="1F17DAEC">
            <w:pPr>
              <w:ind w:firstLine="480" w:firstLineChars="200"/>
              <w:jc w:val="left"/>
              <w:rPr>
                <w:rFonts w:ascii="仿宋" w:hAnsi="仿宋" w:eastAsia="仿宋" w:cs="Courier New"/>
                <w:color w:val="000000" w:themeColor="text1"/>
                <w:kern w:val="0"/>
                <w:sz w:val="24"/>
                <w:szCs w:val="24"/>
                <w:lang w:val="zh-TW" w:eastAsia="zh-CN" w:bidi="ar-SA"/>
                <w14:textFill>
                  <w14:solidFill>
                    <w14:schemeClr w14:val="tx1"/>
                  </w14:solidFill>
                </w14:textFill>
              </w:rPr>
            </w:pPr>
          </w:p>
        </w:tc>
      </w:tr>
    </w:tbl>
    <w:p w14:paraId="4C4E4D53">
      <w:pPr>
        <w:ind w:firstLine="600"/>
        <w:jc w:val="both"/>
      </w:pPr>
    </w:p>
    <w:p w14:paraId="22FD9329">
      <w:pPr>
        <w:ind w:firstLine="602"/>
        <w:jc w:val="center"/>
        <w:rPr>
          <w:b/>
        </w:rPr>
      </w:pPr>
      <w:r>
        <w:rPr>
          <w:rFonts w:hint="eastAsia"/>
          <w:b/>
        </w:rPr>
        <w:t>修订记录</w:t>
      </w:r>
    </w:p>
    <w:tbl>
      <w:tblPr>
        <w:tblStyle w:val="6"/>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2073"/>
        <w:gridCol w:w="1754"/>
        <w:gridCol w:w="4002"/>
      </w:tblGrid>
      <w:tr w14:paraId="2AFD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5" w:type="dxa"/>
            <w:vAlign w:val="center"/>
          </w:tcPr>
          <w:p w14:paraId="75035B9E">
            <w:pPr>
              <w:ind w:firstLine="0" w:firstLineChars="0"/>
              <w:jc w:val="center"/>
              <w:rPr>
                <w:rFonts w:ascii="Times New Roman" w:hAnsi="Times New Roman" w:cs="Times New Roman"/>
                <w:b/>
                <w:bCs/>
                <w:sz w:val="24"/>
              </w:rPr>
            </w:pPr>
            <w:r>
              <w:rPr>
                <w:rFonts w:ascii="Times New Roman" w:hAnsi="Times New Roman" w:cs="Times New Roman"/>
                <w:b/>
                <w:bCs/>
                <w:sz w:val="24"/>
              </w:rPr>
              <w:t>版本号</w:t>
            </w:r>
          </w:p>
        </w:tc>
        <w:tc>
          <w:tcPr>
            <w:tcW w:w="2073" w:type="dxa"/>
            <w:vAlign w:val="center"/>
          </w:tcPr>
          <w:p w14:paraId="1CDEA06E">
            <w:pPr>
              <w:ind w:firstLine="0" w:firstLineChars="0"/>
              <w:jc w:val="center"/>
              <w:rPr>
                <w:rFonts w:ascii="Times New Roman" w:hAnsi="Times New Roman" w:cs="Times New Roman"/>
                <w:b/>
                <w:bCs/>
                <w:sz w:val="24"/>
              </w:rPr>
            </w:pPr>
            <w:r>
              <w:rPr>
                <w:rFonts w:hint="eastAsia" w:ascii="Times New Roman" w:hAnsi="Times New Roman" w:cs="Times New Roman"/>
                <w:b/>
                <w:bCs/>
                <w:sz w:val="24"/>
              </w:rPr>
              <w:t>批准生</w:t>
            </w:r>
            <w:r>
              <w:rPr>
                <w:rFonts w:ascii="Times New Roman" w:hAnsi="Times New Roman" w:cs="Times New Roman"/>
                <w:b/>
                <w:bCs/>
                <w:sz w:val="24"/>
              </w:rPr>
              <w:t>效日期</w:t>
            </w:r>
          </w:p>
        </w:tc>
        <w:tc>
          <w:tcPr>
            <w:tcW w:w="1754" w:type="dxa"/>
            <w:vAlign w:val="center"/>
          </w:tcPr>
          <w:p w14:paraId="23BD6252">
            <w:pPr>
              <w:ind w:firstLine="198" w:firstLineChars="82"/>
              <w:rPr>
                <w:rFonts w:ascii="Times New Roman" w:hAnsi="Times New Roman" w:cs="Times New Roman"/>
                <w:b/>
                <w:bCs/>
                <w:sz w:val="24"/>
              </w:rPr>
            </w:pPr>
            <w:r>
              <w:rPr>
                <w:rFonts w:hint="eastAsia" w:ascii="Times New Roman" w:hAnsi="Times New Roman" w:cs="Times New Roman"/>
                <w:b/>
                <w:bCs/>
                <w:sz w:val="24"/>
              </w:rPr>
              <w:t>废止</w:t>
            </w:r>
            <w:r>
              <w:rPr>
                <w:rFonts w:ascii="Times New Roman" w:hAnsi="Times New Roman" w:cs="Times New Roman"/>
                <w:b/>
                <w:bCs/>
                <w:sz w:val="24"/>
              </w:rPr>
              <w:t>日期</w:t>
            </w:r>
          </w:p>
        </w:tc>
        <w:tc>
          <w:tcPr>
            <w:tcW w:w="4002" w:type="dxa"/>
            <w:vAlign w:val="center"/>
          </w:tcPr>
          <w:p w14:paraId="3371ACC5">
            <w:pPr>
              <w:ind w:firstLine="0" w:firstLineChars="0"/>
              <w:jc w:val="center"/>
              <w:rPr>
                <w:rFonts w:ascii="Times New Roman" w:hAnsi="Times New Roman" w:cs="Times New Roman"/>
                <w:b/>
                <w:bCs/>
                <w:sz w:val="24"/>
              </w:rPr>
            </w:pPr>
            <w:r>
              <w:rPr>
                <w:rFonts w:ascii="Times New Roman" w:hAnsi="Times New Roman" w:cs="Times New Roman"/>
                <w:b/>
                <w:bCs/>
                <w:sz w:val="24"/>
              </w:rPr>
              <w:t>修订理由</w:t>
            </w:r>
            <w:r>
              <w:rPr>
                <w:rFonts w:hint="eastAsia" w:ascii="Times New Roman" w:hAnsi="Times New Roman" w:cs="Times New Roman"/>
                <w:b/>
                <w:bCs/>
                <w:sz w:val="24"/>
              </w:rPr>
              <w:t>及内容概要</w:t>
            </w:r>
          </w:p>
        </w:tc>
      </w:tr>
      <w:tr w14:paraId="3F69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5" w:type="dxa"/>
            <w:vAlign w:val="center"/>
          </w:tcPr>
          <w:p w14:paraId="675E3BE2">
            <w:pPr>
              <w:ind w:firstLine="0" w:firstLineChars="0"/>
              <w:jc w:val="center"/>
              <w:rPr>
                <w:rFonts w:ascii="Times New Roman" w:hAnsi="Times New Roman" w:cs="Times New Roman"/>
                <w:sz w:val="24"/>
              </w:rPr>
            </w:pPr>
            <w:r>
              <w:rPr>
                <w:rFonts w:hint="eastAsia" w:ascii="Times New Roman" w:hAnsi="Times New Roman" w:cs="Times New Roman"/>
                <w:sz w:val="24"/>
              </w:rPr>
              <w:t>01.0</w:t>
            </w:r>
          </w:p>
        </w:tc>
        <w:tc>
          <w:tcPr>
            <w:tcW w:w="2073" w:type="dxa"/>
            <w:vAlign w:val="center"/>
          </w:tcPr>
          <w:p w14:paraId="252C3A20">
            <w:pPr>
              <w:ind w:firstLine="480" w:firstLineChars="200"/>
              <w:rPr>
                <w:rFonts w:ascii="Times New Roman" w:hAnsi="Times New Roman" w:cs="Times New Roman"/>
                <w:sz w:val="24"/>
              </w:rPr>
            </w:pPr>
            <w:r>
              <w:rPr>
                <w:rFonts w:hint="eastAsia" w:ascii="Times New Roman" w:hAnsi="Times New Roman" w:cs="Times New Roman"/>
                <w:sz w:val="24"/>
                <w:lang w:val="en-US" w:eastAsia="zh-CN"/>
              </w:rPr>
              <w:t>2020.11.19</w:t>
            </w:r>
          </w:p>
        </w:tc>
        <w:tc>
          <w:tcPr>
            <w:tcW w:w="1754" w:type="dxa"/>
            <w:vAlign w:val="center"/>
          </w:tcPr>
          <w:p w14:paraId="2CBE9C1E">
            <w:pPr>
              <w:ind w:firstLine="0" w:firstLineChars="0"/>
              <w:rPr>
                <w:rFonts w:hint="default" w:ascii="Times New Roman" w:hAnsi="Times New Roman" w:cs="Times New Roman"/>
                <w:sz w:val="24"/>
                <w:lang w:val="en-US"/>
              </w:rPr>
            </w:pPr>
            <w:r>
              <w:rPr>
                <w:rFonts w:hint="eastAsia" w:ascii="Times New Roman" w:hAnsi="Times New Roman" w:cs="Times New Roman"/>
                <w:sz w:val="24"/>
                <w:lang w:val="en-US" w:eastAsia="zh-CN"/>
              </w:rPr>
              <w:t>2025.08.26</w:t>
            </w:r>
          </w:p>
        </w:tc>
        <w:tc>
          <w:tcPr>
            <w:tcW w:w="4002" w:type="dxa"/>
            <w:vAlign w:val="center"/>
          </w:tcPr>
          <w:p w14:paraId="2777F11C">
            <w:pPr>
              <w:ind w:firstLine="480" w:firstLineChars="200"/>
              <w:jc w:val="center"/>
              <w:rPr>
                <w:rFonts w:ascii="Times New Roman" w:hAnsi="Times New Roman" w:cs="Times New Roman"/>
                <w:sz w:val="24"/>
              </w:rPr>
            </w:pPr>
            <w:r>
              <w:rPr>
                <w:rFonts w:ascii="Times New Roman" w:hAnsi="Times New Roman" w:cs="Times New Roman"/>
                <w:sz w:val="24"/>
              </w:rPr>
              <w:t>原始版</w:t>
            </w:r>
          </w:p>
        </w:tc>
      </w:tr>
      <w:tr w14:paraId="2559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5" w:type="dxa"/>
            <w:vAlign w:val="center"/>
          </w:tcPr>
          <w:p w14:paraId="4C826EEA">
            <w:pPr>
              <w:ind w:firstLine="0" w:firstLineChars="0"/>
              <w:jc w:val="center"/>
              <w:rPr>
                <w:rFonts w:ascii="Times New Roman" w:hAnsi="Times New Roman" w:cs="Times New Roman"/>
                <w:sz w:val="24"/>
              </w:rPr>
            </w:pPr>
            <w:r>
              <w:rPr>
                <w:rFonts w:hint="eastAsia" w:ascii="Times New Roman" w:hAnsi="Times New Roman" w:cs="Times New Roman"/>
                <w:sz w:val="24"/>
              </w:rPr>
              <w:t>0</w:t>
            </w:r>
            <w:r>
              <w:rPr>
                <w:rFonts w:hint="eastAsia" w:ascii="Times New Roman" w:hAnsi="Times New Roman" w:cs="Times New Roman"/>
                <w:sz w:val="24"/>
                <w:lang w:val="en-US" w:eastAsia="zh-CN"/>
              </w:rPr>
              <w:t>2</w:t>
            </w:r>
            <w:r>
              <w:rPr>
                <w:rFonts w:hint="eastAsia" w:ascii="Times New Roman" w:hAnsi="Times New Roman" w:cs="Times New Roman"/>
                <w:sz w:val="24"/>
              </w:rPr>
              <w:t>.0</w:t>
            </w:r>
          </w:p>
        </w:tc>
        <w:tc>
          <w:tcPr>
            <w:tcW w:w="2073" w:type="dxa"/>
            <w:vAlign w:val="center"/>
          </w:tcPr>
          <w:p w14:paraId="42E5E62B">
            <w:pPr>
              <w:ind w:firstLine="480" w:firstLineChars="200"/>
              <w:jc w:val="both"/>
              <w:rPr>
                <w:rFonts w:hint="default" w:ascii="Times New Roman" w:hAnsi="Times New Roman" w:cs="Times New Roman"/>
                <w:sz w:val="24"/>
                <w:lang w:val="en-US"/>
              </w:rPr>
            </w:pPr>
            <w:r>
              <w:rPr>
                <w:rFonts w:hint="eastAsia" w:ascii="Times New Roman" w:hAnsi="Times New Roman" w:cs="Times New Roman"/>
                <w:sz w:val="24"/>
                <w:lang w:val="en-US" w:eastAsia="zh-CN"/>
              </w:rPr>
              <w:t>2025.08.27</w:t>
            </w:r>
          </w:p>
        </w:tc>
        <w:tc>
          <w:tcPr>
            <w:tcW w:w="1754" w:type="dxa"/>
            <w:vAlign w:val="center"/>
          </w:tcPr>
          <w:p w14:paraId="08BBCD53">
            <w:pPr>
              <w:ind w:firstLine="480" w:firstLineChars="200"/>
              <w:jc w:val="center"/>
              <w:rPr>
                <w:rFonts w:ascii="Times New Roman" w:hAnsi="Times New Roman" w:cs="Times New Roman"/>
                <w:sz w:val="24"/>
              </w:rPr>
            </w:pPr>
          </w:p>
        </w:tc>
        <w:tc>
          <w:tcPr>
            <w:tcW w:w="4002" w:type="dxa"/>
            <w:vAlign w:val="center"/>
          </w:tcPr>
          <w:p w14:paraId="27C0AA7E">
            <w:pPr>
              <w:spacing w:line="240" w:lineRule="auto"/>
              <w:ind w:left="0" w:leftChars="0" w:firstLine="0" w:firstLineChars="0"/>
              <w:jc w:val="left"/>
              <w:rPr>
                <w:rFonts w:hint="eastAsia" w:ascii="Times New Roman" w:hAnsi="Times New Roman" w:eastAsia="仿宋" w:cs="Times New Roman"/>
                <w:sz w:val="24"/>
                <w:lang w:val="en-US" w:eastAsia="zh-CN"/>
              </w:rPr>
            </w:pPr>
            <w:r>
              <w:rPr>
                <w:rFonts w:hint="eastAsia" w:ascii="仿宋" w:hAnsi="仿宋" w:eastAsia="仿宋"/>
                <w:color w:val="000000"/>
                <w:sz w:val="24"/>
              </w:rPr>
              <w:t>“受试者”改为“研究参与者”；完善审查内容；修订保存资料时限</w:t>
            </w:r>
            <w:r>
              <w:rPr>
                <w:rFonts w:hint="eastAsia" w:ascii="仿宋" w:hAnsi="仿宋"/>
                <w:color w:val="000000"/>
                <w:sz w:val="24"/>
                <w:lang w:eastAsia="zh-CN"/>
              </w:rPr>
              <w:t>；</w:t>
            </w:r>
            <w:r>
              <w:rPr>
                <w:rFonts w:hint="eastAsia" w:ascii="仿宋" w:hAnsi="仿宋" w:eastAsia="仿宋"/>
                <w:color w:val="000000"/>
                <w:sz w:val="24"/>
              </w:rPr>
              <w:t>增加疫苗相关参考法规</w:t>
            </w:r>
            <w:r>
              <w:rPr>
                <w:rFonts w:hint="eastAsia" w:ascii="仿宋" w:hAnsi="仿宋"/>
                <w:color w:val="000000"/>
                <w:sz w:val="24"/>
                <w:lang w:eastAsia="zh-CN"/>
              </w:rPr>
              <w:t>；</w:t>
            </w:r>
            <w:r>
              <w:rPr>
                <w:rFonts w:hint="eastAsia" w:ascii="仿宋" w:hAnsi="仿宋"/>
                <w:color w:val="000000"/>
                <w:sz w:val="24"/>
                <w:lang w:val="en-US" w:eastAsia="zh-CN"/>
              </w:rPr>
              <w:t>更新医院名称</w:t>
            </w:r>
            <w:bookmarkStart w:id="1" w:name="_GoBack"/>
            <w:bookmarkEnd w:id="1"/>
            <w:r>
              <w:rPr>
                <w:rFonts w:hint="eastAsia" w:ascii="仿宋" w:hAnsi="仿宋" w:eastAsia="仿宋"/>
                <w:color w:val="000000"/>
                <w:sz w:val="24"/>
              </w:rPr>
              <w:t>等</w:t>
            </w:r>
            <w:r>
              <w:rPr>
                <w:rFonts w:hint="eastAsia" w:ascii="仿宋" w:hAnsi="仿宋"/>
                <w:color w:val="000000"/>
                <w:sz w:val="24"/>
                <w:lang w:val="en-US" w:eastAsia="zh-CN"/>
              </w:rPr>
              <w:t>内容</w:t>
            </w:r>
          </w:p>
        </w:tc>
      </w:tr>
      <w:tr w14:paraId="18CF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5" w:type="dxa"/>
            <w:vAlign w:val="center"/>
          </w:tcPr>
          <w:p w14:paraId="71B3EA0E">
            <w:pPr>
              <w:ind w:firstLine="0" w:firstLineChars="0"/>
              <w:jc w:val="center"/>
              <w:rPr>
                <w:rFonts w:ascii="Times New Roman" w:hAnsi="Times New Roman" w:cs="Times New Roman"/>
                <w:sz w:val="24"/>
              </w:rPr>
            </w:pPr>
          </w:p>
        </w:tc>
        <w:tc>
          <w:tcPr>
            <w:tcW w:w="2073" w:type="dxa"/>
            <w:vAlign w:val="center"/>
          </w:tcPr>
          <w:p w14:paraId="1E270842">
            <w:pPr>
              <w:ind w:firstLine="480" w:firstLineChars="200"/>
              <w:rPr>
                <w:rFonts w:ascii="Times New Roman" w:hAnsi="Times New Roman" w:cs="Times New Roman"/>
                <w:sz w:val="24"/>
              </w:rPr>
            </w:pPr>
          </w:p>
        </w:tc>
        <w:tc>
          <w:tcPr>
            <w:tcW w:w="1754" w:type="dxa"/>
            <w:vAlign w:val="center"/>
          </w:tcPr>
          <w:p w14:paraId="5A74987A">
            <w:pPr>
              <w:ind w:firstLine="0" w:firstLineChars="0"/>
              <w:rPr>
                <w:rFonts w:ascii="Times New Roman" w:hAnsi="Times New Roman" w:cs="Times New Roman"/>
                <w:sz w:val="24"/>
              </w:rPr>
            </w:pPr>
          </w:p>
        </w:tc>
        <w:tc>
          <w:tcPr>
            <w:tcW w:w="4002" w:type="dxa"/>
            <w:vAlign w:val="center"/>
          </w:tcPr>
          <w:p w14:paraId="460A6B9E">
            <w:pPr>
              <w:ind w:firstLine="480" w:firstLineChars="200"/>
              <w:jc w:val="center"/>
              <w:rPr>
                <w:rFonts w:ascii="Times New Roman" w:hAnsi="Times New Roman" w:cs="Times New Roman"/>
                <w:sz w:val="24"/>
              </w:rPr>
            </w:pPr>
          </w:p>
        </w:tc>
      </w:tr>
      <w:tr w14:paraId="7547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5" w:type="dxa"/>
            <w:vAlign w:val="center"/>
          </w:tcPr>
          <w:p w14:paraId="6832FC96">
            <w:pPr>
              <w:spacing w:line="240" w:lineRule="auto"/>
              <w:ind w:firstLine="0" w:firstLineChars="0"/>
              <w:jc w:val="center"/>
              <w:rPr>
                <w:rFonts w:ascii="Times New Roman" w:hAnsi="Times New Roman" w:cs="Times New Roman"/>
                <w:sz w:val="24"/>
              </w:rPr>
            </w:pPr>
          </w:p>
        </w:tc>
        <w:tc>
          <w:tcPr>
            <w:tcW w:w="2073" w:type="dxa"/>
            <w:vAlign w:val="center"/>
          </w:tcPr>
          <w:p w14:paraId="071105A6">
            <w:pPr>
              <w:spacing w:line="240" w:lineRule="auto"/>
              <w:ind w:firstLine="0" w:firstLineChars="0"/>
              <w:jc w:val="center"/>
              <w:rPr>
                <w:rFonts w:ascii="Times New Roman" w:hAnsi="Times New Roman" w:cs="Times New Roman"/>
                <w:sz w:val="24"/>
              </w:rPr>
            </w:pPr>
          </w:p>
        </w:tc>
        <w:tc>
          <w:tcPr>
            <w:tcW w:w="1754" w:type="dxa"/>
            <w:vAlign w:val="center"/>
          </w:tcPr>
          <w:p w14:paraId="33126E26">
            <w:pPr>
              <w:spacing w:line="240" w:lineRule="auto"/>
              <w:ind w:firstLine="0" w:firstLineChars="0"/>
              <w:jc w:val="center"/>
              <w:rPr>
                <w:rFonts w:ascii="Times New Roman" w:hAnsi="Times New Roman" w:cs="Times New Roman"/>
                <w:sz w:val="24"/>
              </w:rPr>
            </w:pPr>
          </w:p>
        </w:tc>
        <w:tc>
          <w:tcPr>
            <w:tcW w:w="4002" w:type="dxa"/>
            <w:vAlign w:val="center"/>
          </w:tcPr>
          <w:p w14:paraId="65186E29">
            <w:pPr>
              <w:spacing w:line="240" w:lineRule="auto"/>
              <w:ind w:firstLine="0" w:firstLineChars="0"/>
              <w:jc w:val="center"/>
              <w:rPr>
                <w:rFonts w:ascii="Times New Roman" w:hAnsi="Times New Roman" w:cs="Times New Roman"/>
                <w:sz w:val="24"/>
              </w:rPr>
            </w:pPr>
          </w:p>
        </w:tc>
      </w:tr>
      <w:tr w14:paraId="4609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5" w:type="dxa"/>
            <w:vAlign w:val="center"/>
          </w:tcPr>
          <w:p w14:paraId="02F420FB">
            <w:pPr>
              <w:spacing w:line="240" w:lineRule="auto"/>
              <w:ind w:firstLine="0" w:firstLineChars="0"/>
              <w:jc w:val="center"/>
              <w:rPr>
                <w:rFonts w:ascii="Times New Roman" w:hAnsi="Times New Roman" w:cs="Times New Roman"/>
                <w:sz w:val="24"/>
              </w:rPr>
            </w:pPr>
          </w:p>
        </w:tc>
        <w:tc>
          <w:tcPr>
            <w:tcW w:w="2073" w:type="dxa"/>
            <w:vAlign w:val="center"/>
          </w:tcPr>
          <w:p w14:paraId="6AA1EB1D">
            <w:pPr>
              <w:spacing w:line="240" w:lineRule="auto"/>
              <w:ind w:firstLine="0" w:firstLineChars="0"/>
              <w:jc w:val="center"/>
              <w:rPr>
                <w:rFonts w:ascii="Times New Roman" w:hAnsi="Times New Roman" w:cs="Times New Roman"/>
                <w:sz w:val="24"/>
              </w:rPr>
            </w:pPr>
          </w:p>
        </w:tc>
        <w:tc>
          <w:tcPr>
            <w:tcW w:w="1754" w:type="dxa"/>
            <w:vAlign w:val="center"/>
          </w:tcPr>
          <w:p w14:paraId="60C59EA3">
            <w:pPr>
              <w:spacing w:line="240" w:lineRule="auto"/>
              <w:ind w:firstLine="0" w:firstLineChars="0"/>
              <w:jc w:val="center"/>
              <w:rPr>
                <w:rFonts w:ascii="Times New Roman" w:hAnsi="Times New Roman" w:cs="Times New Roman"/>
                <w:sz w:val="24"/>
              </w:rPr>
            </w:pPr>
          </w:p>
        </w:tc>
        <w:tc>
          <w:tcPr>
            <w:tcW w:w="4002" w:type="dxa"/>
            <w:vAlign w:val="center"/>
          </w:tcPr>
          <w:p w14:paraId="1863C1A9">
            <w:pPr>
              <w:spacing w:line="240" w:lineRule="auto"/>
              <w:ind w:firstLine="0" w:firstLineChars="0"/>
              <w:jc w:val="center"/>
              <w:rPr>
                <w:rFonts w:ascii="Times New Roman" w:hAnsi="Times New Roman" w:cs="Times New Roman"/>
                <w:sz w:val="24"/>
              </w:rPr>
            </w:pPr>
          </w:p>
        </w:tc>
      </w:tr>
    </w:tbl>
    <w:p w14:paraId="28392206">
      <w:pPr>
        <w:ind w:firstLine="600"/>
        <w:jc w:val="both"/>
      </w:pPr>
    </w:p>
    <w:p w14:paraId="326E372E">
      <w:pPr>
        <w:ind w:firstLine="562"/>
        <w:jc w:val="center"/>
        <w:rPr>
          <w:rFonts w:asciiTheme="minorEastAsia" w:hAnsiTheme="minorEastAsia" w:eastAsiaTheme="minorEastAsia"/>
          <w:b/>
          <w:sz w:val="28"/>
        </w:rPr>
      </w:pPr>
    </w:p>
    <w:p w14:paraId="4947AD56">
      <w:pPr>
        <w:ind w:firstLine="562"/>
        <w:jc w:val="center"/>
        <w:rPr>
          <w:rFonts w:asciiTheme="minorEastAsia" w:hAnsiTheme="minorEastAsia" w:eastAsiaTheme="minorEastAsia"/>
          <w:b/>
          <w:sz w:val="28"/>
        </w:rPr>
      </w:pPr>
    </w:p>
    <w:p w14:paraId="3796DCAC">
      <w:pPr>
        <w:spacing w:before="312" w:beforeLines="100" w:line="360" w:lineRule="auto"/>
        <w:ind w:firstLine="562" w:firstLineChars="200"/>
        <w:jc w:val="center"/>
        <w:rPr>
          <w:rFonts w:ascii="黑体" w:hAnsi="黑体" w:eastAsia="黑体" w:cs="Courier New"/>
          <w:b/>
          <w:color w:val="000000"/>
          <w:kern w:val="0"/>
          <w:sz w:val="28"/>
          <w:szCs w:val="28"/>
          <w:lang w:val="zh-TW"/>
        </w:rPr>
      </w:pPr>
      <w:r>
        <w:rPr>
          <w:rFonts w:asciiTheme="minorEastAsia" w:hAnsiTheme="minorEastAsia" w:eastAsiaTheme="minorEastAsia"/>
          <w:b/>
          <w:sz w:val="28"/>
        </w:rPr>
        <w:br w:type="page"/>
      </w:r>
      <w:bookmarkEnd w:id="0"/>
      <w:r>
        <w:rPr>
          <w:rFonts w:hint="eastAsia" w:ascii="黑体" w:hAnsi="黑体" w:eastAsia="黑体" w:cs="Courier New"/>
          <w:b/>
          <w:color w:val="000000"/>
          <w:kern w:val="0"/>
          <w:sz w:val="28"/>
          <w:szCs w:val="28"/>
          <w:lang w:val="zh-TW"/>
        </w:rPr>
        <w:t>伦理委员会工作制度</w:t>
      </w:r>
    </w:p>
    <w:p w14:paraId="4ECBF1EB">
      <w:pPr>
        <w:spacing w:line="360" w:lineRule="auto"/>
        <w:ind w:firstLine="562" w:firstLineChars="200"/>
        <w:jc w:val="center"/>
        <w:rPr>
          <w:rFonts w:ascii="黑体" w:hAnsi="黑体" w:eastAsia="黑体" w:cs="Courier New"/>
          <w:b/>
          <w:color w:val="000000"/>
          <w:kern w:val="0"/>
          <w:sz w:val="28"/>
          <w:szCs w:val="28"/>
          <w:lang w:val="zh-TW"/>
        </w:rPr>
      </w:pPr>
    </w:p>
    <w:p w14:paraId="6FB8FC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基于生命健康科学和创新的生物技术所取得的快速发展，面对医疗、科学技术、卫生政策迅速发展所带来一系列生命伦理问题，医学伦理委员会在提升以研究参与者和患者为中心的服务和在涉及人体生命伦理问题的实践中发挥积极重要的作用，加强医学伦理建设，促进生命伦理学原则与现代生物医学实践紧密结合，是医院现代化发展的需要。</w:t>
      </w:r>
    </w:p>
    <w:p w14:paraId="5B8E66E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第一条  总则</w:t>
      </w:r>
    </w:p>
    <w:p w14:paraId="37852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（一）伦理委员会遵守《赫尔辛基宣言》的规定，遵循国际公认的尊重、不伤害/有利、公正的原则以及合法、独立、称职、及时和有效的工作原则开展工作。</w:t>
      </w:r>
    </w:p>
    <w:p w14:paraId="42D7C5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（二）伦理委员会的组织和工作是独立的，不受任何参与项目的申办者、研究者的影响。伦理审查和知情同意是保障研究参与者权益的重要措施。</w:t>
      </w:r>
    </w:p>
    <w:p w14:paraId="3C45E1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（三）伦理委员会以维护人的健康利益、促进医学科学进步、增强以病人为中心的服务意识为工作目标，兼顾医患双方的利益，积极促进医院生命伦理学的实施与发展。  </w:t>
      </w:r>
    </w:p>
    <w:p w14:paraId="6F9BE9DB">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第二条  组织机构</w:t>
      </w:r>
    </w:p>
    <w:p w14:paraId="4C05DD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（一）本伦理委员会隶属</w:t>
      </w:r>
      <w:r>
        <w:rPr>
          <w:rFonts w:hint="eastAsia" w:ascii="宋体" w:hAnsi="宋体" w:eastAsia="宋体" w:cs="宋体"/>
          <w:sz w:val="24"/>
          <w:szCs w:val="24"/>
          <w:lang w:val="en-US" w:eastAsia="zh-CN"/>
        </w:rPr>
        <w:t>云南省曲靖中心医院</w:t>
      </w:r>
      <w:r>
        <w:rPr>
          <w:rFonts w:hint="eastAsia" w:ascii="宋体" w:hAnsi="宋体" w:eastAsia="宋体" w:cs="宋体"/>
          <w:sz w:val="24"/>
          <w:szCs w:val="24"/>
        </w:rPr>
        <w:t>，下设办公室，设办公室主任1名、秘书</w:t>
      </w:r>
      <w:r>
        <w:rPr>
          <w:rFonts w:hint="eastAsia" w:ascii="宋体" w:hAnsi="宋体" w:eastAsia="宋体" w:cs="宋体"/>
          <w:sz w:val="24"/>
          <w:szCs w:val="24"/>
          <w:lang w:val="en-US" w:eastAsia="zh-CN"/>
        </w:rPr>
        <w:t>若干名</w:t>
      </w:r>
      <w:r>
        <w:rPr>
          <w:rFonts w:hint="eastAsia" w:ascii="宋体" w:hAnsi="宋体" w:eastAsia="宋体" w:cs="宋体"/>
          <w:sz w:val="24"/>
          <w:szCs w:val="24"/>
        </w:rPr>
        <w:t>。</w:t>
      </w:r>
    </w:p>
    <w:p w14:paraId="5FE64E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（二）伦理委员会委员实行任期制，任期</w:t>
      </w:r>
      <w:r>
        <w:rPr>
          <w:rFonts w:hint="eastAsia" w:ascii="宋体" w:hAnsi="宋体" w:eastAsia="宋体" w:cs="宋体"/>
          <w:sz w:val="24"/>
          <w:szCs w:val="24"/>
          <w:lang w:val="en-US" w:eastAsia="zh-CN"/>
        </w:rPr>
        <w:t>3</w:t>
      </w:r>
      <w:r>
        <w:rPr>
          <w:rFonts w:hint="eastAsia" w:ascii="宋体" w:hAnsi="宋体" w:eastAsia="宋体" w:cs="宋体"/>
          <w:sz w:val="24"/>
          <w:szCs w:val="24"/>
        </w:rPr>
        <w:t>年，可以连任。委员可根据需要有所变更。如有变动，应及时补充和调整，以保证足够类别和数量的委员开展工作。</w:t>
      </w:r>
    </w:p>
    <w:p w14:paraId="0FBEA9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（三）伦理委员会成员应接受有关伦理学和相关法律法规的教育和培训，委员会应制定培训计划，以不断提升委员的素质和能力。</w:t>
      </w:r>
    </w:p>
    <w:p w14:paraId="2B0896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（四）伦理委员会设秘书</w:t>
      </w:r>
      <w:r>
        <w:rPr>
          <w:rFonts w:hint="eastAsia" w:ascii="宋体" w:hAnsi="宋体" w:eastAsia="宋体" w:cs="宋体"/>
          <w:sz w:val="24"/>
          <w:szCs w:val="24"/>
          <w:lang w:val="en-US" w:eastAsia="zh-CN"/>
        </w:rPr>
        <w:t>若干</w:t>
      </w:r>
      <w:r>
        <w:rPr>
          <w:rFonts w:hint="eastAsia" w:ascii="宋体" w:hAnsi="宋体" w:eastAsia="宋体" w:cs="宋体"/>
          <w:sz w:val="24"/>
          <w:szCs w:val="24"/>
        </w:rPr>
        <w:t>名，负责伦理审查申请材料受理、会议日程安排、会议记录、决议通告、档案管理等工作。根据工作需要，可设工作人员若干名。</w:t>
      </w:r>
    </w:p>
    <w:p w14:paraId="7CD00E75">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第三条  任务</w:t>
      </w:r>
    </w:p>
    <w:p w14:paraId="315448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（一）维护研究参与者、患者及医务工作者的权益，论证本院的医学伦理及生命伦理问题，开展医学伦理学普及教育活动，组织专题培训班或研讨会。</w:t>
      </w:r>
    </w:p>
    <w:p w14:paraId="021EC6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（二）指导落实对员工的医学伦理规范的培训，使其深切了解与认识专业和个人的伦理责任，恪守伦理规范，保持职业尊严，维持良好的人际关系。</w:t>
      </w:r>
    </w:p>
    <w:p w14:paraId="673143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（三）讨论、论证本院临床实践中遇到的生命/医学伦理问题，提出伦理咨询意见。 </w:t>
      </w:r>
    </w:p>
    <w:p w14:paraId="270D72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（四）对本院已经实施或即将引进的医学创新技术；对已经开展或即将开展的重大医疗技术；对医务人员或病人（包括病人亲属）的咨询与请求；对院长提出委托的事件等进行医学伦理的审查、讨论、论证。  </w:t>
      </w:r>
    </w:p>
    <w:p w14:paraId="2EBBAE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（五）审查涉及人体生命科学和医学研究是否符合科学和医学研究伦理要求。</w:t>
      </w:r>
    </w:p>
    <w:p w14:paraId="490BFA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（六）审查临床科研/研究、教学医疗或其成果的医学伦理问题。</w:t>
      </w:r>
    </w:p>
    <w:p w14:paraId="745D7C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 其他。</w:t>
      </w:r>
    </w:p>
    <w:p w14:paraId="466A4991">
      <w:pPr>
        <w:spacing w:line="360" w:lineRule="auto"/>
        <w:ind w:firstLine="482" w:firstLineChars="200"/>
        <w:jc w:val="left"/>
        <w:rPr>
          <w:rFonts w:hint="eastAsia" w:ascii="宋体" w:hAnsi="宋体" w:eastAsia="宋体" w:cs="宋体"/>
          <w:bCs/>
          <w:sz w:val="24"/>
          <w:szCs w:val="24"/>
        </w:rPr>
      </w:pPr>
      <w:r>
        <w:rPr>
          <w:rFonts w:hint="eastAsia" w:ascii="宋体" w:hAnsi="宋体" w:eastAsia="宋体" w:cs="宋体"/>
          <w:b/>
          <w:sz w:val="24"/>
          <w:szCs w:val="24"/>
        </w:rPr>
        <w:t>第四条  工作程序</w:t>
      </w:r>
    </w:p>
    <w:p w14:paraId="5201A3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（一）伦理委员会接受委托人咨询审查的文件必须由委托人提出申请，填写申请表并提供完整的资料。提供的资料主要包括：申请表、研究/治疗方案、知情同意书、主管部门的有关批件/意见等。</w:t>
      </w:r>
    </w:p>
    <w:p w14:paraId="131D17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（二）伦理委员会应在受理后择期召开会议（一般受理到审查并出具意见不超过30天）或以简易程序审查的方式进行审查。</w:t>
      </w:r>
    </w:p>
    <w:p w14:paraId="7107C9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（三）审查后，主任委员签发书面意见，并附上会议签到表或委员名单。</w:t>
      </w:r>
    </w:p>
    <w:p w14:paraId="229555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伦理委员会对涉及人的生命科学和医学研究的审查依据是《赫尔辛基宣言》《涉及人的健康相关研究国际伦理准则》《涉及人的生物医学研究伦理审查办法》《涉及人的生命科学和医学研究伦理审查办法》《药物临床试验质量管理规范》、《医疗器械临床试验质量管理规范》及《疫苗临床试验质量管理指导原则（试行）》等，其审查内容主要包括：</w:t>
      </w:r>
    </w:p>
    <w:p w14:paraId="148B55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研究是否违反法律法规、规章及有关规定的要求；</w:t>
      </w:r>
    </w:p>
    <w:p w14:paraId="60B077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2.研究者的资格、经验、技术能力等是否符合试验要求； </w:t>
      </w:r>
    </w:p>
    <w:p w14:paraId="327F7F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研究方案是否科学、具有社会价值，并符合伦理原则的要求；中医药研究方案的审查，还应当考虑其传统实践经验； </w:t>
      </w:r>
    </w:p>
    <w:p w14:paraId="35E581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4.研究参与者可能遭受的风险程度与研究预期的受益相比是否在合理范围之内；</w:t>
      </w:r>
    </w:p>
    <w:p w14:paraId="347715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知情同意书提供的有关信息是否充分、完整、易懂，获得知情同意的过程是否合规、恰当；</w:t>
      </w:r>
    </w:p>
    <w:p w14:paraId="6653AF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6.研究参与者个人信息及相关资料的保密措施是否恰当；</w:t>
      </w:r>
    </w:p>
    <w:p w14:paraId="41AF04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7.研究参与者招募方式、途径、纳入和排除标准是否恰当、公平； </w:t>
      </w:r>
    </w:p>
    <w:p w14:paraId="1F286D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8.是否向研究参与者明确告知其应当享有的权益，包括在研究过程中可以随时无理由退出且不会因此受到不公正对待的权利，告知退出研究后的影响、其他治疗方法等；</w:t>
      </w:r>
    </w:p>
    <w:p w14:paraId="6F124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9.研究参与者参加研究的合理支出是否得到了合理补偿；研究参与者参加研究受到损害时，给予的治疗、赔偿或者赔偿是否合理、合法；</w:t>
      </w:r>
    </w:p>
    <w:p w14:paraId="6EAF8A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10.是否有具备资格或者经培训后的研究者负责获取知情同意，并随时接受有关安全问题的咨询；</w:t>
      </w:r>
    </w:p>
    <w:p w14:paraId="6D995C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11.对研究参与者在研究中可能承受的风险是否有预防和应对措施；</w:t>
      </w:r>
    </w:p>
    <w:p w14:paraId="44413C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12.研究是否涉及利益冲突；</w:t>
      </w:r>
    </w:p>
    <w:p w14:paraId="1DDDE0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13.研究是否涉及社会敏感的伦理问题；</w:t>
      </w:r>
    </w:p>
    <w:p w14:paraId="162081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研究结果是否发布，方式、时间是否恰当；</w:t>
      </w:r>
    </w:p>
    <w:p w14:paraId="69BCF4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15.需要审查的其他重点内容。</w:t>
      </w:r>
    </w:p>
    <w:p w14:paraId="7F8E3C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（五）伦理委员会接受院长提出的咨询，需将所论证的结果以“意见”的形式，由主任委员签署，向院长递交，供院长决策参考。</w:t>
      </w:r>
    </w:p>
    <w:p w14:paraId="639768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（六）伦理委员会及其成员，对于论证事件中的医学伦理咨询意见，只作为讨论意见记录在案，供决策参考，不具有直接行政效力。</w:t>
      </w:r>
    </w:p>
    <w:p w14:paraId="2F5F4920">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第五条  表决制度</w:t>
      </w:r>
    </w:p>
    <w:p w14:paraId="070E09F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（一）每一位参与审查和讨论的委员都应投票表决。 </w:t>
      </w:r>
    </w:p>
    <w:p w14:paraId="2C16E02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（二）会议以全体委员人数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不包含侯补委员</w:t>
      </w:r>
      <w:r>
        <w:rPr>
          <w:rFonts w:hint="eastAsia" w:ascii="宋体" w:hAnsi="宋体" w:eastAsia="宋体" w:cs="宋体"/>
          <w:sz w:val="24"/>
          <w:szCs w:val="24"/>
          <w:lang w:eastAsia="zh-CN"/>
        </w:rPr>
        <w:t>）</w:t>
      </w:r>
      <w:r>
        <w:rPr>
          <w:rFonts w:hint="eastAsia" w:ascii="宋体" w:hAnsi="宋体" w:eastAsia="宋体" w:cs="宋体"/>
          <w:sz w:val="24"/>
          <w:szCs w:val="24"/>
        </w:rPr>
        <w:t>的1/2以上（有特殊规定者例外）的意见做出对审查项目的决议。</w:t>
      </w:r>
    </w:p>
    <w:p w14:paraId="27E547E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（三）特邀独立顾问不是正式委员，不参与投票，但他们的专业意见对委员会做出最终决定是重要的。</w:t>
      </w:r>
    </w:p>
    <w:p w14:paraId="3229959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（四）不允许代理投票。</w:t>
      </w:r>
    </w:p>
    <w:p w14:paraId="284D5B30">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 xml:space="preserve">（五）存在利益冲突的委员应回避，不参加投票。 </w:t>
      </w:r>
    </w:p>
    <w:p w14:paraId="6E361D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（六）伦理委员会对提交的研究项目可做出下列决定之一：</w:t>
      </w:r>
    </w:p>
    <w:p w14:paraId="06477C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1.注册类临床试验项目：同意；必要的修改后同意；不同意；终止或者暂停已同意的研究。</w:t>
      </w:r>
    </w:p>
    <w:p w14:paraId="7E3E25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2.其他临床研究项目：批准（研究继续进行）、不批准、修改后批准、修改后再审、暂停或者终止研究。</w:t>
      </w:r>
    </w:p>
    <w:p w14:paraId="2A83BF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（七）审查决定为“同意”/“批准”时，同时告知伦理委员会实施跟踪审查的要求。</w:t>
      </w:r>
    </w:p>
    <w:p w14:paraId="342788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（八）审查决定为“必要的修改后同意”/“修改后批准”“修改后再审”的项目必须详细说明修正意见，并告知再次提交项目资料的要求和流程。</w:t>
      </w:r>
    </w:p>
    <w:p w14:paraId="12B888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（九）审查决定为“不同意”/“不批准”和“终止或者暂停已同意的研究”/“暂停或者终止研究”时，必须充分说明理由，并告知申请人可就有关事项作出解释或提出申诉。</w:t>
      </w:r>
    </w:p>
    <w:p w14:paraId="3BA29B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（十）非正式的建议可作为决定的附件。</w:t>
      </w:r>
    </w:p>
    <w:p w14:paraId="7A6297DB">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第六条  职责</w:t>
      </w:r>
    </w:p>
    <w:p w14:paraId="53C341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主任委员、副主任委员、委员、秘书及办公室人员按照IEC/MS/03岗位职责的要求各自履责。</w:t>
      </w:r>
    </w:p>
    <w:p w14:paraId="3293744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第七条  文件及档案</w:t>
      </w:r>
    </w:p>
    <w:p w14:paraId="47ACC1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（一）建档（包括但不限于以下）</w:t>
      </w:r>
    </w:p>
    <w:p w14:paraId="5660C5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伦理委员会工作制度，伦理委员会工作人员职责。</w:t>
      </w:r>
    </w:p>
    <w:p w14:paraId="7F8E92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伦理委员会成员任命文件，伦理委员会委员声明、保密承诺、利益冲突声明，伦理委员会成员专业履历，伦理委员会成员通讯录。</w:t>
      </w:r>
    </w:p>
    <w:p w14:paraId="230D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项目文件：申请者提交的伦理审查申请表及相关材料。</w:t>
      </w:r>
    </w:p>
    <w:p w14:paraId="0473BC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伦理委员会审查受理通知书，会议日程，伦理委员会会议签到表，投票单，会议记录，伦理委员会审查意见。</w:t>
      </w:r>
    </w:p>
    <w:p w14:paraId="6C7E9D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伦理委员会成员培训计划、培训资料。</w:t>
      </w:r>
    </w:p>
    <w:p w14:paraId="31EFDC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伦理委员会年度工作计划和总结。</w:t>
      </w:r>
    </w:p>
    <w:p w14:paraId="2BB439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（二）档案管理</w:t>
      </w:r>
    </w:p>
    <w:p w14:paraId="306F32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秘书负责文档存取，办理查阅手续。用于申请药品注册的临床试验，必备文件应当至少保存至试验药物被批准上市后5年；用于申请器械注册的临床试验应当保存至临床试验结束后10年；未用于申请注册的临床试验及其他项目，必备文件应当至少保存至临床研究/项目终止后10年；或根据申请人（申办者、政府管理部门）的相关要求延长保存期限。</w:t>
      </w:r>
    </w:p>
    <w:p w14:paraId="05AA6E38">
      <w:pPr>
        <w:spacing w:line="360" w:lineRule="auto"/>
        <w:ind w:firstLine="480" w:firstLineChars="200"/>
        <w:rPr>
          <w:rFonts w:hint="eastAsia" w:ascii="宋体" w:hAnsi="宋体" w:eastAsia="宋体" w:cs="宋体"/>
          <w:sz w:val="24"/>
          <w:szCs w:val="24"/>
        </w:rPr>
      </w:pPr>
    </w:p>
    <w:p w14:paraId="30CE478D">
      <w:pPr>
        <w:spacing w:line="360" w:lineRule="auto"/>
        <w:rPr>
          <w:rFonts w:hint="eastAsia" w:ascii="宋体" w:hAnsi="宋体" w:eastAsia="宋体" w:cs="宋体"/>
          <w:color w:val="FF0000"/>
          <w:sz w:val="24"/>
          <w:szCs w:val="24"/>
        </w:rPr>
      </w:pPr>
      <w:r>
        <w:rPr>
          <w:rFonts w:hint="eastAsia" w:ascii="宋体" w:hAnsi="宋体" w:eastAsia="宋体" w:cs="宋体"/>
          <w:sz w:val="24"/>
          <w:szCs w:val="24"/>
        </w:rPr>
        <w:t xml:space="preserve"> </w:t>
      </w:r>
    </w:p>
    <w:p w14:paraId="5E455618">
      <w:pPr>
        <w:spacing w:line="360" w:lineRule="auto"/>
        <w:ind w:firstLine="480"/>
        <w:rPr>
          <w:rFonts w:hint="eastAsia" w:ascii="宋体" w:hAnsi="宋体" w:eastAsia="宋体" w:cs="宋体"/>
          <w:sz w:val="24"/>
          <w:szCs w:val="24"/>
        </w:rPr>
      </w:pPr>
    </w:p>
    <w:p w14:paraId="2E956049">
      <w:pPr>
        <w:spacing w:line="360" w:lineRule="auto"/>
        <w:rPr>
          <w:rFonts w:hint="eastAsia" w:ascii="宋体" w:hAnsi="宋体" w:eastAsia="宋体" w:cs="宋体"/>
          <w:sz w:val="24"/>
          <w:szCs w:val="24"/>
        </w:rPr>
      </w:pPr>
    </w:p>
    <w:p w14:paraId="02845F5D">
      <w:pPr>
        <w:spacing w:line="360" w:lineRule="auto"/>
        <w:jc w:val="center"/>
        <w:rPr>
          <w:rFonts w:hint="eastAsia" w:ascii="宋体" w:hAnsi="宋体" w:eastAsia="宋体" w:cs="宋体"/>
          <w:b/>
          <w:color w:val="000000"/>
          <w:kern w:val="0"/>
          <w:sz w:val="24"/>
          <w:szCs w:val="24"/>
        </w:rPr>
      </w:pPr>
    </w:p>
    <w:p w14:paraId="780F7D6A">
      <w:pPr>
        <w:ind w:firstLine="0" w:firstLineChars="0"/>
        <w:jc w:val="both"/>
        <w:rPr>
          <w:rFonts w:hint="eastAsia" w:ascii="宋体" w:hAnsi="宋体" w:eastAsia="宋体" w:cs="宋体"/>
          <w:color w:val="FF0000"/>
          <w:kern w:val="2"/>
          <w:sz w:val="24"/>
          <w:szCs w:val="24"/>
          <w:lang w:val="en-US"/>
        </w:rPr>
      </w:pPr>
      <w:r>
        <w:rPr>
          <w:rFonts w:hint="eastAsia" w:ascii="宋体" w:hAnsi="宋体" w:eastAsia="宋体" w:cs="宋体"/>
          <w:color w:val="auto"/>
          <w:kern w:val="2"/>
          <w:sz w:val="24"/>
          <w:szCs w:val="24"/>
          <w:lang w:val="en-US"/>
        </w:rPr>
        <w:t xml:space="preserve"> </w:t>
      </w:r>
    </w:p>
    <w:p w14:paraId="054B41D3">
      <w:pPr>
        <w:ind w:firstLine="480" w:firstLineChars="0"/>
        <w:jc w:val="both"/>
        <w:rPr>
          <w:rFonts w:hint="eastAsia" w:ascii="宋体" w:hAnsi="宋体" w:eastAsia="宋体" w:cs="宋体"/>
          <w:color w:val="auto"/>
          <w:kern w:val="2"/>
          <w:sz w:val="24"/>
          <w:szCs w:val="24"/>
          <w:lang w:val="en-US"/>
        </w:rPr>
      </w:pPr>
    </w:p>
    <w:p w14:paraId="3328E7F0">
      <w:pPr>
        <w:ind w:firstLine="0" w:firstLineChars="0"/>
        <w:jc w:val="both"/>
        <w:rPr>
          <w:rFonts w:hint="eastAsia" w:ascii="宋体" w:hAnsi="宋体" w:eastAsia="宋体" w:cs="宋体"/>
          <w:color w:val="auto"/>
          <w:kern w:val="2"/>
          <w:sz w:val="24"/>
          <w:szCs w:val="24"/>
          <w:lang w:val="en-US"/>
        </w:rPr>
      </w:pPr>
    </w:p>
    <w:p w14:paraId="78F086B1">
      <w:pPr>
        <w:ind w:firstLine="562"/>
        <w:jc w:val="center"/>
        <w:rPr>
          <w:rFonts w:hint="eastAsia" w:ascii="宋体" w:hAnsi="宋体" w:eastAsia="宋体" w:cs="宋体"/>
          <w:b/>
          <w:sz w:val="24"/>
          <w:szCs w:val="24"/>
          <w:lang w:val="en-US" w:eastAsia="zh-TW"/>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917676"/>
      <w:docPartObj>
        <w:docPartGallery w:val="autotext"/>
      </w:docPartObj>
    </w:sdtPr>
    <w:sdtContent>
      <w:p w14:paraId="7B4F68C8">
        <w:pPr>
          <w:pStyle w:val="4"/>
          <w:ind w:firstLine="600"/>
          <w:jc w:val="center"/>
        </w:pPr>
        <w:r>
          <w:fldChar w:fldCharType="begin"/>
        </w:r>
        <w:r>
          <w:instrText xml:space="preserve">PAGE   \* MERGEFORMAT</w:instrText>
        </w:r>
        <w:r>
          <w:fldChar w:fldCharType="separate"/>
        </w:r>
        <w:r>
          <w:rPr>
            <w:lang w:val="zh-CN"/>
          </w:rPr>
          <w:t>3</w:t>
        </w:r>
        <w:r>
          <w:fldChar w:fldCharType="end"/>
        </w:r>
      </w:p>
    </w:sdtContent>
  </w:sdt>
  <w:p w14:paraId="3073C4A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8A15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CE9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260"/>
      <w:gridCol w:w="1605"/>
      <w:gridCol w:w="2131"/>
    </w:tblGrid>
    <w:tr w14:paraId="7AF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26" w:type="dxa"/>
          <w:vAlign w:val="center"/>
        </w:tcPr>
        <w:p w14:paraId="7742DBAA">
          <w:pPr>
            <w:pStyle w:val="5"/>
            <w:pBdr>
              <w:bottom w:val="none" w:color="auto" w:sz="0" w:space="0"/>
            </w:pBdr>
            <w:tabs>
              <w:tab w:val="clear" w:pos="4153"/>
              <w:tab w:val="clear" w:pos="8306"/>
            </w:tabs>
            <w:ind w:firstLine="210" w:firstLineChars="100"/>
            <w:jc w:val="left"/>
            <w:rPr>
              <w:rFonts w:ascii="Times New Roman" w:hAnsi="Times New Roman" w:cs="Times New Roman"/>
              <w:sz w:val="21"/>
            </w:rPr>
          </w:pPr>
          <w:r>
            <w:rPr>
              <w:rFonts w:hint="eastAsia" w:ascii="Times New Roman" w:hAnsi="Times New Roman" w:cs="Times New Roman"/>
              <w:sz w:val="21"/>
            </w:rPr>
            <w:t>文件分类</w:t>
          </w:r>
        </w:p>
      </w:tc>
      <w:tc>
        <w:tcPr>
          <w:tcW w:w="3260" w:type="dxa"/>
          <w:vAlign w:val="center"/>
        </w:tcPr>
        <w:p w14:paraId="1106E5DC">
          <w:pPr>
            <w:pStyle w:val="5"/>
            <w:pBdr>
              <w:bottom w:val="none" w:color="auto" w:sz="0" w:space="0"/>
            </w:pBdr>
            <w:tabs>
              <w:tab w:val="clear" w:pos="4153"/>
              <w:tab w:val="clear" w:pos="8306"/>
            </w:tabs>
            <w:rPr>
              <w:rFonts w:ascii="Times New Roman" w:hAnsi="Times New Roman" w:cs="Times New Roman"/>
              <w:sz w:val="21"/>
              <w:szCs w:val="21"/>
            </w:rPr>
          </w:pPr>
          <w:r>
            <w:rPr>
              <w:rFonts w:hint="eastAsia" w:ascii="Times New Roman" w:hAnsi="Times New Roman" w:cs="Times New Roman"/>
              <w:sz w:val="21"/>
              <w:szCs w:val="21"/>
              <w:lang w:eastAsia="zh-CN"/>
            </w:rPr>
            <w:t>云南省曲靖中心</w:t>
          </w:r>
          <w:r>
            <w:rPr>
              <w:rFonts w:hint="eastAsia" w:ascii="Times New Roman" w:hAnsi="Times New Roman" w:cs="Times New Roman"/>
              <w:sz w:val="21"/>
              <w:szCs w:val="21"/>
            </w:rPr>
            <w:t>医院伦理委员会制度</w:t>
          </w:r>
        </w:p>
      </w:tc>
      <w:tc>
        <w:tcPr>
          <w:tcW w:w="1605" w:type="dxa"/>
          <w:vAlign w:val="center"/>
        </w:tcPr>
        <w:p w14:paraId="50ACEC5B">
          <w:pPr>
            <w:pStyle w:val="5"/>
            <w:pBdr>
              <w:bottom w:val="none" w:color="auto" w:sz="0" w:space="0"/>
            </w:pBdr>
            <w:tabs>
              <w:tab w:val="clear" w:pos="4153"/>
              <w:tab w:val="clear" w:pos="8306"/>
            </w:tabs>
            <w:rPr>
              <w:rFonts w:ascii="Times New Roman" w:hAnsi="Times New Roman" w:cs="Times New Roman"/>
              <w:sz w:val="21"/>
              <w:szCs w:val="21"/>
            </w:rPr>
          </w:pPr>
          <w:r>
            <w:rPr>
              <w:rFonts w:hint="eastAsia" w:ascii="Times New Roman" w:hAnsi="Times New Roman" w:cs="Times New Roman"/>
              <w:sz w:val="21"/>
              <w:szCs w:val="21"/>
            </w:rPr>
            <w:t>文件编号</w:t>
          </w:r>
        </w:p>
      </w:tc>
      <w:tc>
        <w:tcPr>
          <w:tcW w:w="2131" w:type="dxa"/>
          <w:vAlign w:val="center"/>
        </w:tcPr>
        <w:p w14:paraId="14F44B2F">
          <w:pPr>
            <w:pStyle w:val="5"/>
            <w:pBdr>
              <w:bottom w:val="none" w:color="auto" w:sz="0" w:space="0"/>
            </w:pBdr>
            <w:tabs>
              <w:tab w:val="clear" w:pos="4153"/>
              <w:tab w:val="clear" w:pos="8306"/>
            </w:tabs>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rPr>
            <w:t>IEC/</w:t>
          </w:r>
          <w:r>
            <w:rPr>
              <w:rFonts w:ascii="Times New Roman" w:hAnsi="Times New Roman" w:cs="Times New Roman"/>
              <w:sz w:val="21"/>
              <w:szCs w:val="21"/>
            </w:rPr>
            <w:t>MS/0</w:t>
          </w:r>
          <w:r>
            <w:rPr>
              <w:rFonts w:hint="eastAsia" w:ascii="Times New Roman" w:hAnsi="Times New Roman" w:cs="Times New Roman"/>
              <w:sz w:val="21"/>
              <w:szCs w:val="21"/>
            </w:rPr>
            <w:t>6</w:t>
          </w:r>
          <w:r>
            <w:rPr>
              <w:rFonts w:ascii="Times New Roman" w:hAnsi="Times New Roman" w:cs="Times New Roman"/>
              <w:sz w:val="21"/>
              <w:szCs w:val="21"/>
            </w:rPr>
            <w:t>/</w:t>
          </w:r>
          <w:r>
            <w:rPr>
              <w:rFonts w:hint="eastAsia" w:ascii="Times New Roman" w:hAnsi="Times New Roman" w:cs="Times New Roman"/>
              <w:sz w:val="21"/>
              <w:szCs w:val="21"/>
            </w:rPr>
            <w:t>202</w:t>
          </w:r>
          <w:r>
            <w:rPr>
              <w:rFonts w:hint="eastAsia" w:ascii="Times New Roman" w:hAnsi="Times New Roman" w:cs="Times New Roman"/>
              <w:sz w:val="21"/>
              <w:szCs w:val="21"/>
              <w:lang w:val="en-US" w:eastAsia="zh-CN"/>
            </w:rPr>
            <w:t>5</w:t>
          </w:r>
          <w:r>
            <w:rPr>
              <w:rFonts w:ascii="Times New Roman" w:hAnsi="Times New Roman" w:cs="Times New Roman"/>
              <w:sz w:val="21"/>
              <w:szCs w:val="21"/>
            </w:rPr>
            <w:t>-0</w:t>
          </w:r>
          <w:r>
            <w:rPr>
              <w:rFonts w:hint="eastAsia" w:ascii="Times New Roman" w:hAnsi="Times New Roman" w:cs="Times New Roman"/>
              <w:sz w:val="21"/>
              <w:szCs w:val="21"/>
              <w:lang w:val="en-US" w:eastAsia="zh-CN"/>
            </w:rPr>
            <w:t>2</w:t>
          </w:r>
          <w:r>
            <w:rPr>
              <w:rFonts w:ascii="Times New Roman" w:hAnsi="Times New Roman" w:cs="Times New Roman"/>
              <w:sz w:val="21"/>
              <w:szCs w:val="21"/>
            </w:rPr>
            <w:t>.</w:t>
          </w:r>
          <w:r>
            <w:rPr>
              <w:rFonts w:hint="eastAsia" w:ascii="Times New Roman" w:hAnsi="Times New Roman" w:cs="Times New Roman"/>
              <w:sz w:val="21"/>
              <w:szCs w:val="21"/>
              <w:lang w:val="en-US" w:eastAsia="zh-CN"/>
            </w:rPr>
            <w:t>0</w:t>
          </w:r>
        </w:p>
      </w:tc>
    </w:tr>
    <w:tr w14:paraId="5078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26" w:type="dxa"/>
          <w:vAlign w:val="center"/>
        </w:tcPr>
        <w:p w14:paraId="244DF4C9">
          <w:pPr>
            <w:pStyle w:val="5"/>
            <w:pBdr>
              <w:bottom w:val="none" w:color="auto" w:sz="0" w:space="0"/>
            </w:pBdr>
            <w:tabs>
              <w:tab w:val="clear" w:pos="4153"/>
              <w:tab w:val="clear" w:pos="8306"/>
            </w:tabs>
            <w:rPr>
              <w:rFonts w:ascii="Times New Roman" w:hAnsi="Times New Roman" w:cs="Times New Roman"/>
              <w:sz w:val="21"/>
            </w:rPr>
          </w:pPr>
          <w:r>
            <w:rPr>
              <w:rFonts w:hint="eastAsia" w:ascii="Times New Roman" w:hAnsi="Times New Roman" w:cs="Times New Roman"/>
              <w:sz w:val="21"/>
            </w:rPr>
            <w:t>文件名称</w:t>
          </w:r>
        </w:p>
      </w:tc>
      <w:tc>
        <w:tcPr>
          <w:tcW w:w="3260" w:type="dxa"/>
          <w:vAlign w:val="center"/>
        </w:tcPr>
        <w:p w14:paraId="5DB479A4">
          <w:pPr>
            <w:pStyle w:val="5"/>
            <w:pBdr>
              <w:bottom w:val="none" w:color="auto" w:sz="0" w:space="0"/>
            </w:pBdr>
            <w:tabs>
              <w:tab w:val="clear" w:pos="4153"/>
              <w:tab w:val="clear" w:pos="8306"/>
            </w:tabs>
            <w:rPr>
              <w:rFonts w:ascii="Times New Roman" w:hAnsi="Times New Roman" w:cs="Times New Roman"/>
              <w:sz w:val="21"/>
              <w:szCs w:val="21"/>
            </w:rPr>
          </w:pPr>
          <w:r>
            <w:rPr>
              <w:rFonts w:hint="eastAsia" w:ascii="Times New Roman" w:hAnsi="Times New Roman" w:cs="Times New Roman"/>
              <w:sz w:val="21"/>
              <w:szCs w:val="21"/>
            </w:rPr>
            <w:t>伦理委员会工作制度</w:t>
          </w:r>
        </w:p>
      </w:tc>
      <w:tc>
        <w:tcPr>
          <w:tcW w:w="1605" w:type="dxa"/>
          <w:vAlign w:val="center"/>
        </w:tcPr>
        <w:p w14:paraId="6FAB7260">
          <w:pPr>
            <w:pStyle w:val="5"/>
            <w:pBdr>
              <w:bottom w:val="none" w:color="auto" w:sz="0" w:space="0"/>
            </w:pBdr>
            <w:tabs>
              <w:tab w:val="clear" w:pos="4153"/>
              <w:tab w:val="clear" w:pos="8306"/>
            </w:tabs>
            <w:rPr>
              <w:rFonts w:ascii="Times New Roman" w:hAnsi="Times New Roman" w:cs="Times New Roman"/>
              <w:sz w:val="21"/>
              <w:szCs w:val="21"/>
            </w:rPr>
          </w:pPr>
          <w:r>
            <w:rPr>
              <w:rFonts w:hint="eastAsia" w:ascii="Times New Roman" w:hAnsi="Times New Roman" w:cs="Times New Roman"/>
              <w:sz w:val="21"/>
              <w:szCs w:val="21"/>
            </w:rPr>
            <w:t>页码</w:t>
          </w:r>
        </w:p>
      </w:tc>
      <w:tc>
        <w:tcPr>
          <w:tcW w:w="2131" w:type="dxa"/>
          <w:vAlign w:val="center"/>
        </w:tcPr>
        <w:p w14:paraId="1F4FB900">
          <w:pPr>
            <w:pStyle w:val="5"/>
            <w:pBdr>
              <w:bottom w:val="none" w:color="auto" w:sz="0" w:space="0"/>
            </w:pBdr>
            <w:tabs>
              <w:tab w:val="clear" w:pos="4153"/>
              <w:tab w:val="clear" w:pos="8306"/>
            </w:tabs>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Arabic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r>
            <w:rPr>
              <w:rFonts w:ascii="Times New Roman" w:hAnsi="Times New Roman" w:cs="Times New Roman"/>
              <w:sz w:val="21"/>
              <w:szCs w:val="21"/>
              <w:lang w:val="zh-CN"/>
            </w:rPr>
            <w:t xml:space="preserve"> /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NUMPAGES  \* Arabic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p>
      </w:tc>
    </w:tr>
  </w:tbl>
  <w:p w14:paraId="4A1C5AC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609E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A3DC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6"/>
    <w:rsid w:val="000041EC"/>
    <w:rsid w:val="00050C9A"/>
    <w:rsid w:val="00056D80"/>
    <w:rsid w:val="000B3E4B"/>
    <w:rsid w:val="000F092A"/>
    <w:rsid w:val="001620E9"/>
    <w:rsid w:val="001A171F"/>
    <w:rsid w:val="001E49FA"/>
    <w:rsid w:val="001F2E7F"/>
    <w:rsid w:val="00252115"/>
    <w:rsid w:val="00296E9E"/>
    <w:rsid w:val="002C36CF"/>
    <w:rsid w:val="002E2F1E"/>
    <w:rsid w:val="00304B9C"/>
    <w:rsid w:val="00380D3F"/>
    <w:rsid w:val="003C161A"/>
    <w:rsid w:val="003D178F"/>
    <w:rsid w:val="003E4688"/>
    <w:rsid w:val="00465697"/>
    <w:rsid w:val="00470D21"/>
    <w:rsid w:val="00480D25"/>
    <w:rsid w:val="004A1786"/>
    <w:rsid w:val="004A2A36"/>
    <w:rsid w:val="005512AF"/>
    <w:rsid w:val="005D4E36"/>
    <w:rsid w:val="005F131A"/>
    <w:rsid w:val="00670EFF"/>
    <w:rsid w:val="00673772"/>
    <w:rsid w:val="00673CE6"/>
    <w:rsid w:val="00690285"/>
    <w:rsid w:val="006D31C9"/>
    <w:rsid w:val="006F36DF"/>
    <w:rsid w:val="00706DD0"/>
    <w:rsid w:val="00706E75"/>
    <w:rsid w:val="007254FF"/>
    <w:rsid w:val="007373B3"/>
    <w:rsid w:val="00772E05"/>
    <w:rsid w:val="007857DA"/>
    <w:rsid w:val="007C60E5"/>
    <w:rsid w:val="007E6B8B"/>
    <w:rsid w:val="007F7D7C"/>
    <w:rsid w:val="008059E8"/>
    <w:rsid w:val="00885BBD"/>
    <w:rsid w:val="00891AEB"/>
    <w:rsid w:val="00894575"/>
    <w:rsid w:val="008A766A"/>
    <w:rsid w:val="008B1A6D"/>
    <w:rsid w:val="008E1496"/>
    <w:rsid w:val="008F035A"/>
    <w:rsid w:val="00910DB2"/>
    <w:rsid w:val="00914003"/>
    <w:rsid w:val="00926EF2"/>
    <w:rsid w:val="00935CBD"/>
    <w:rsid w:val="00A04364"/>
    <w:rsid w:val="00A44DC2"/>
    <w:rsid w:val="00A5382F"/>
    <w:rsid w:val="00A72E33"/>
    <w:rsid w:val="00A901F8"/>
    <w:rsid w:val="00A90363"/>
    <w:rsid w:val="00AC46EB"/>
    <w:rsid w:val="00AE6389"/>
    <w:rsid w:val="00B20629"/>
    <w:rsid w:val="00B25BF3"/>
    <w:rsid w:val="00B27AE0"/>
    <w:rsid w:val="00B406F3"/>
    <w:rsid w:val="00B72A4D"/>
    <w:rsid w:val="00B75FC3"/>
    <w:rsid w:val="00B85CF9"/>
    <w:rsid w:val="00C05FE0"/>
    <w:rsid w:val="00C53E14"/>
    <w:rsid w:val="00C9466B"/>
    <w:rsid w:val="00C953E9"/>
    <w:rsid w:val="00CF13F1"/>
    <w:rsid w:val="00D00FE9"/>
    <w:rsid w:val="00D128CB"/>
    <w:rsid w:val="00D36148"/>
    <w:rsid w:val="00D64C22"/>
    <w:rsid w:val="00D9026E"/>
    <w:rsid w:val="00DC62BD"/>
    <w:rsid w:val="00E4566E"/>
    <w:rsid w:val="00EB5000"/>
    <w:rsid w:val="00F568D5"/>
    <w:rsid w:val="00FA68CD"/>
    <w:rsid w:val="00FA794B"/>
    <w:rsid w:val="00FA7A58"/>
    <w:rsid w:val="00FC4B7A"/>
    <w:rsid w:val="00FD3F33"/>
    <w:rsid w:val="00FF33B6"/>
    <w:rsid w:val="0798308C"/>
    <w:rsid w:val="12C44C69"/>
    <w:rsid w:val="15C736EC"/>
    <w:rsid w:val="16A34A22"/>
    <w:rsid w:val="1BAE4E9C"/>
    <w:rsid w:val="1C624B16"/>
    <w:rsid w:val="234B7E6D"/>
    <w:rsid w:val="256F4FB0"/>
    <w:rsid w:val="29534671"/>
    <w:rsid w:val="2A706EC2"/>
    <w:rsid w:val="2B560C6F"/>
    <w:rsid w:val="2C0811E3"/>
    <w:rsid w:val="3842422E"/>
    <w:rsid w:val="3C197B5F"/>
    <w:rsid w:val="45B95404"/>
    <w:rsid w:val="4DEB6377"/>
    <w:rsid w:val="4E5818E4"/>
    <w:rsid w:val="565A3B92"/>
    <w:rsid w:val="594173E0"/>
    <w:rsid w:val="66FD415C"/>
    <w:rsid w:val="6C794D89"/>
    <w:rsid w:val="6F3D4550"/>
    <w:rsid w:val="6F945CD8"/>
    <w:rsid w:val="6FBC74E2"/>
    <w:rsid w:val="73CE5CB0"/>
    <w:rsid w:val="76826FC2"/>
    <w:rsid w:val="781C57AE"/>
    <w:rsid w:val="7D2D6B0F"/>
    <w:rsid w:val="7F994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Courier New" w:hAnsi="Courier New" w:eastAsia="仿宋" w:cs="Courier New"/>
      <w:color w:val="000000"/>
      <w:kern w:val="0"/>
      <w:sz w:val="30"/>
      <w:szCs w:val="24"/>
      <w:lang w:val="zh-TW"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4"/>
    <w:qFormat/>
    <w:uiPriority w:val="0"/>
    <w:pPr>
      <w:spacing w:line="240" w:lineRule="auto"/>
      <w:ind w:firstLine="0" w:firstLineChars="0"/>
      <w:jc w:val="both"/>
    </w:pPr>
    <w:rPr>
      <w:rFonts w:ascii="宋体" w:eastAsia="宋体" w:cs="Times New Roman"/>
      <w:color w:val="auto"/>
      <w:kern w:val="2"/>
      <w:sz w:val="21"/>
      <w:szCs w:val="20"/>
      <w:lang w:val="en-US"/>
    </w:rPr>
  </w:style>
  <w:style w:type="paragraph" w:styleId="3">
    <w:name w:val="Balloon Text"/>
    <w:basedOn w:val="1"/>
    <w:link w:val="11"/>
    <w:semiHidden/>
    <w:unhideWhenUsed/>
    <w:qFormat/>
    <w:uiPriority w:val="99"/>
    <w:pPr>
      <w:spacing w:line="240" w:lineRule="auto"/>
    </w:pPr>
    <w:rPr>
      <w:sz w:val="18"/>
      <w:szCs w:val="18"/>
    </w:rPr>
  </w:style>
  <w:style w:type="paragraph" w:styleId="4">
    <w:name w:val="footer"/>
    <w:basedOn w:val="1"/>
    <w:link w:val="10"/>
    <w:unhideWhenUsed/>
    <w:qFormat/>
    <w:uiPriority w:val="99"/>
    <w:pPr>
      <w:tabs>
        <w:tab w:val="center" w:pos="4153"/>
        <w:tab w:val="right" w:pos="8306"/>
      </w:tabs>
      <w:snapToGrid w:val="0"/>
      <w:spacing w:line="240" w:lineRule="auto"/>
      <w:ind w:firstLine="0" w:firstLineChars="0"/>
    </w:pPr>
    <w:rPr>
      <w:rFonts w:asciiTheme="minorHAnsi" w:hAnsiTheme="minorHAnsi" w:eastAsiaTheme="minorEastAsia" w:cstheme="minorBidi"/>
      <w:color w:val="auto"/>
      <w:kern w:val="2"/>
      <w:sz w:val="18"/>
      <w:szCs w:val="18"/>
      <w:lang w:val="en-US"/>
    </w:rPr>
  </w:style>
  <w:style w:type="paragraph" w:styleId="5">
    <w:name w:val="header"/>
    <w:basedOn w:val="1"/>
    <w:link w:val="9"/>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color w:val="auto"/>
      <w:kern w:val="2"/>
      <w:sz w:val="18"/>
      <w:szCs w:val="18"/>
      <w:lang w:val="en-US"/>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rFonts w:ascii="Courier New" w:hAnsi="Courier New" w:eastAsia="仿宋" w:cs="Courier New"/>
      <w:color w:val="000000"/>
      <w:kern w:val="0"/>
      <w:sz w:val="18"/>
      <w:szCs w:val="18"/>
      <w:lang w:val="zh-TW"/>
    </w:rPr>
  </w:style>
  <w:style w:type="character" w:customStyle="1" w:styleId="12">
    <w:name w:val="Heading #2_"/>
    <w:basedOn w:val="8"/>
    <w:link w:val="13"/>
    <w:qFormat/>
    <w:uiPriority w:val="0"/>
    <w:rPr>
      <w:rFonts w:ascii="MingLiU" w:hAnsi="MingLiU" w:eastAsia="MingLiU" w:cs="MingLiU"/>
      <w:sz w:val="18"/>
      <w:szCs w:val="18"/>
      <w:shd w:val="clear" w:color="auto" w:fill="FFFFFF"/>
    </w:rPr>
  </w:style>
  <w:style w:type="paragraph" w:customStyle="1" w:styleId="13">
    <w:name w:val="Heading #2"/>
    <w:basedOn w:val="1"/>
    <w:link w:val="12"/>
    <w:qFormat/>
    <w:uiPriority w:val="0"/>
    <w:pPr>
      <w:shd w:val="clear" w:color="auto" w:fill="FFFFFF"/>
      <w:spacing w:after="240" w:line="0" w:lineRule="atLeast"/>
      <w:jc w:val="center"/>
      <w:outlineLvl w:val="1"/>
    </w:pPr>
    <w:rPr>
      <w:rFonts w:ascii="MingLiU" w:hAnsi="MingLiU" w:eastAsia="MingLiU" w:cs="MingLiU"/>
      <w:color w:val="auto"/>
      <w:kern w:val="2"/>
      <w:sz w:val="18"/>
      <w:szCs w:val="18"/>
      <w:lang w:val="en-US"/>
    </w:rPr>
  </w:style>
  <w:style w:type="character" w:customStyle="1" w:styleId="14">
    <w:name w:val="Body text_"/>
    <w:basedOn w:val="8"/>
    <w:link w:val="15"/>
    <w:qFormat/>
    <w:uiPriority w:val="0"/>
    <w:rPr>
      <w:rFonts w:ascii="MingLiU" w:hAnsi="MingLiU" w:eastAsia="MingLiU" w:cs="MingLiU"/>
      <w:sz w:val="13"/>
      <w:szCs w:val="13"/>
      <w:shd w:val="clear" w:color="auto" w:fill="FFFFFF"/>
    </w:rPr>
  </w:style>
  <w:style w:type="paragraph" w:customStyle="1" w:styleId="15">
    <w:name w:val="正文文本3"/>
    <w:basedOn w:val="1"/>
    <w:link w:val="14"/>
    <w:qFormat/>
    <w:uiPriority w:val="0"/>
    <w:pPr>
      <w:shd w:val="clear" w:color="auto" w:fill="FFFFFF"/>
      <w:spacing w:before="240" w:line="233" w:lineRule="exact"/>
      <w:ind w:hanging="540"/>
      <w:jc w:val="distribute"/>
    </w:pPr>
    <w:rPr>
      <w:rFonts w:ascii="MingLiU" w:hAnsi="MingLiU" w:eastAsia="MingLiU" w:cs="MingLiU"/>
      <w:color w:val="auto"/>
      <w:kern w:val="2"/>
      <w:sz w:val="13"/>
      <w:szCs w:val="13"/>
      <w:lang w:val="en-US"/>
    </w:rPr>
  </w:style>
  <w:style w:type="character" w:customStyle="1" w:styleId="16">
    <w:name w:val="Body text + Batang"/>
    <w:basedOn w:val="14"/>
    <w:qFormat/>
    <w:uiPriority w:val="0"/>
    <w:rPr>
      <w:rFonts w:ascii="Batang" w:hAnsi="Batang" w:eastAsia="Batang" w:cs="Batang"/>
      <w:color w:val="000000"/>
      <w:spacing w:val="-10"/>
      <w:w w:val="100"/>
      <w:position w:val="0"/>
      <w:sz w:val="13"/>
      <w:szCs w:val="13"/>
      <w:shd w:val="clear" w:color="auto" w:fill="FFFFFF"/>
      <w:lang w:val="en-US"/>
    </w:rPr>
  </w:style>
  <w:style w:type="character" w:customStyle="1" w:styleId="17">
    <w:name w:val="Body text (2)_"/>
    <w:basedOn w:val="8"/>
    <w:link w:val="18"/>
    <w:qFormat/>
    <w:uiPriority w:val="0"/>
    <w:rPr>
      <w:rFonts w:ascii="MingLiU" w:hAnsi="MingLiU" w:eastAsia="MingLiU" w:cs="MingLiU"/>
      <w:sz w:val="18"/>
      <w:szCs w:val="18"/>
      <w:shd w:val="clear" w:color="auto" w:fill="FFFFFF"/>
    </w:rPr>
  </w:style>
  <w:style w:type="paragraph" w:customStyle="1" w:styleId="18">
    <w:name w:val="Body text (2)"/>
    <w:basedOn w:val="1"/>
    <w:link w:val="17"/>
    <w:qFormat/>
    <w:uiPriority w:val="0"/>
    <w:pPr>
      <w:shd w:val="clear" w:color="auto" w:fill="FFFFFF"/>
      <w:spacing w:after="300" w:line="0" w:lineRule="atLeast"/>
      <w:ind w:hanging="320"/>
      <w:jc w:val="center"/>
    </w:pPr>
    <w:rPr>
      <w:rFonts w:ascii="MingLiU" w:hAnsi="MingLiU" w:eastAsia="MingLiU" w:cs="MingLiU"/>
      <w:color w:val="auto"/>
      <w:kern w:val="2"/>
      <w:sz w:val="18"/>
      <w:szCs w:val="18"/>
      <w:lang w:val="en-US"/>
    </w:rPr>
  </w:style>
  <w:style w:type="character" w:customStyle="1" w:styleId="19">
    <w:name w:val="Body text (4)_"/>
    <w:basedOn w:val="8"/>
    <w:link w:val="20"/>
    <w:qFormat/>
    <w:uiPriority w:val="0"/>
    <w:rPr>
      <w:rFonts w:ascii="MingLiU" w:hAnsi="MingLiU" w:eastAsia="MingLiU" w:cs="MingLiU"/>
      <w:sz w:val="18"/>
      <w:szCs w:val="18"/>
      <w:shd w:val="clear" w:color="auto" w:fill="FFFFFF"/>
    </w:rPr>
  </w:style>
  <w:style w:type="paragraph" w:customStyle="1" w:styleId="20">
    <w:name w:val="Body text (4)"/>
    <w:basedOn w:val="1"/>
    <w:link w:val="19"/>
    <w:qFormat/>
    <w:uiPriority w:val="0"/>
    <w:pPr>
      <w:shd w:val="clear" w:color="auto" w:fill="FFFFFF"/>
      <w:spacing w:before="240" w:after="240" w:line="0" w:lineRule="atLeast"/>
      <w:jc w:val="center"/>
    </w:pPr>
    <w:rPr>
      <w:rFonts w:ascii="MingLiU" w:hAnsi="MingLiU" w:eastAsia="MingLiU" w:cs="MingLiU"/>
      <w:color w:val="auto"/>
      <w:kern w:val="2"/>
      <w:sz w:val="18"/>
      <w:szCs w:val="18"/>
      <w:lang w:val="en-US"/>
    </w:rPr>
  </w:style>
  <w:style w:type="character" w:customStyle="1" w:styleId="21">
    <w:name w:val="Body text (4) + Spacing 5 pt"/>
    <w:basedOn w:val="19"/>
    <w:qFormat/>
    <w:uiPriority w:val="0"/>
    <w:rPr>
      <w:rFonts w:ascii="MingLiU" w:hAnsi="MingLiU" w:eastAsia="MingLiU" w:cs="MingLiU"/>
      <w:color w:val="000000"/>
      <w:spacing w:val="100"/>
      <w:w w:val="100"/>
      <w:position w:val="0"/>
      <w:sz w:val="18"/>
      <w:szCs w:val="18"/>
      <w:shd w:val="clear" w:color="auto" w:fill="FFFFFF"/>
      <w:lang w:val="zh-TW"/>
    </w:rPr>
  </w:style>
  <w:style w:type="character" w:customStyle="1" w:styleId="22">
    <w:name w:val="Body text (5)_"/>
    <w:basedOn w:val="8"/>
    <w:link w:val="23"/>
    <w:qFormat/>
    <w:uiPriority w:val="0"/>
    <w:rPr>
      <w:rFonts w:ascii="MingLiU" w:hAnsi="MingLiU" w:eastAsia="MingLiU" w:cs="MingLiU"/>
      <w:b/>
      <w:bCs/>
      <w:sz w:val="14"/>
      <w:szCs w:val="14"/>
      <w:shd w:val="clear" w:color="auto" w:fill="FFFFFF"/>
    </w:rPr>
  </w:style>
  <w:style w:type="paragraph" w:customStyle="1" w:styleId="23">
    <w:name w:val="Body text (5)"/>
    <w:basedOn w:val="1"/>
    <w:link w:val="22"/>
    <w:qFormat/>
    <w:uiPriority w:val="0"/>
    <w:pPr>
      <w:shd w:val="clear" w:color="auto" w:fill="FFFFFF"/>
      <w:spacing w:before="180" w:line="245" w:lineRule="exact"/>
      <w:ind w:hanging="300"/>
    </w:pPr>
    <w:rPr>
      <w:rFonts w:ascii="MingLiU" w:hAnsi="MingLiU" w:eastAsia="MingLiU" w:cs="MingLiU"/>
      <w:b/>
      <w:bCs/>
      <w:color w:val="auto"/>
      <w:kern w:val="2"/>
      <w:sz w:val="14"/>
      <w:szCs w:val="14"/>
      <w:lang w:val="en-US"/>
    </w:rPr>
  </w:style>
  <w:style w:type="character" w:customStyle="1" w:styleId="24">
    <w:name w:val="纯文本 字符"/>
    <w:basedOn w:val="8"/>
    <w:link w:val="2"/>
    <w:qFormat/>
    <w:uiPriority w:val="0"/>
    <w:rPr>
      <w:rFonts w:ascii="宋体" w:hAnsi="Courier New" w:eastAsia="宋体" w:cs="Times New Roman"/>
      <w:szCs w:val="20"/>
    </w:rPr>
  </w:style>
  <w:style w:type="paragraph" w:styleId="25">
    <w:name w:val="List Paragraph"/>
    <w:basedOn w:val="1"/>
    <w:qFormat/>
    <w:uiPriority w:val="34"/>
    <w:pPr>
      <w:ind w:firstLine="420"/>
    </w:pPr>
  </w:style>
  <w:style w:type="paragraph" w:customStyle="1" w:styleId="26">
    <w:name w:val="_Style 25"/>
    <w:basedOn w:val="1"/>
    <w:next w:val="25"/>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2902</Words>
  <Characters>2995</Characters>
  <Lines>19</Lines>
  <Paragraphs>5</Paragraphs>
  <TotalTime>3</TotalTime>
  <ScaleCrop>false</ScaleCrop>
  <LinksUpToDate>false</LinksUpToDate>
  <CharactersWithSpaces>3038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2017-12-08T14:24:00Z</dcterms:created>
  <dc:creator>Lenovo</dc:creator>
  <cp:lastModifiedBy>WPS_1609143094</cp:lastModifiedBy>
  <cp:lastPrinted>2018-10-29T07:52:00Z</cp:lastPrinted>
  <dcterms:modified xsi:type="dcterms:W3CDTF">2025-08-30T09:40:02Z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eyJoZGlkIjoiYjQxZWVmOTAwNDlhNmY0MjRlYjFmN2VkZTBiY2U0ODgiLCJ1c2VySWQiOiIxMTU1MTk1NjYzIn0=</vt:lpwstr>
  </property>
  <property fmtid="{D5CDD505-2E9C-101B-9397-08002B2CF9AE}" pid="3" name="KSOProductBuildVer">
    <vt:lpwstr>2052-12.1.0.22529</vt:lpwstr>
  </property>
  <property fmtid="{D5CDD505-2E9C-101B-9397-08002B2CF9AE}" pid="4" name="ICV">
    <vt:lpwstr>F05FFA7DABFD4A73A0DC92837AE1902B_12</vt:lpwstr>
  </property>
</Properties>
</file>